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50" w:rsidRPr="00FE60BA" w:rsidRDefault="001F5A50" w:rsidP="001F5A50">
      <w:pPr>
        <w:jc w:val="both"/>
        <w:rPr>
          <w:rFonts w:ascii="Calibri" w:hAnsi="Calibri" w:cs="Calibri"/>
        </w:rPr>
      </w:pPr>
      <w:r w:rsidRPr="000137C4">
        <w:rPr>
          <w:rFonts w:ascii="Calibri" w:hAnsi="Calibri" w:cs="Calibri"/>
        </w:rPr>
        <w:t xml:space="preserve">Centri civilnih inicijativa (CCI), u partnerstvu sa Omladinskim centrom Vermont iz Brčkog, implementiraju projekat </w:t>
      </w:r>
      <w:r w:rsidRPr="00FE60BA">
        <w:rPr>
          <w:rFonts w:ascii="Calibri" w:hAnsi="Calibri" w:cs="Calibri"/>
          <w:i/>
        </w:rPr>
        <w:t>“Resursni centar za organizacije civilnog društva u BiH”</w:t>
      </w:r>
      <w:r>
        <w:rPr>
          <w:rFonts w:ascii="Calibri" w:hAnsi="Calibri" w:cs="Calibri"/>
        </w:rPr>
        <w:t>. </w:t>
      </w:r>
      <w:r w:rsidR="002B5805">
        <w:rPr>
          <w:rFonts w:ascii="Calibri" w:hAnsi="Calibri" w:cs="Calibri"/>
        </w:rPr>
        <w:t xml:space="preserve">U okviru projektnih aktivnosti, </w:t>
      </w:r>
      <w:r>
        <w:rPr>
          <w:rFonts w:ascii="Calibri" w:hAnsi="Calibri" w:cs="Calibri"/>
        </w:rPr>
        <w:t xml:space="preserve">Resursni centar daje priliku organizacijama civilnog društva da jačaju svoje kapacitete pružanjem stručne podrške i mentorstva u cilju unapređivanja znanja i većeg doprinosa u zajednici, a u skladu sa preferencijama i potrebama organizacija civilnog društva. U svrhu ispunjavanja  cilja </w:t>
      </w:r>
      <w:r w:rsidRPr="00FE60BA">
        <w:rPr>
          <w:rFonts w:eastAsia="Times New Roman" w:cstheme="minorHAnsi"/>
          <w:i/>
          <w:iCs/>
          <w:lang w:eastAsia="bs-Latn-BA"/>
        </w:rPr>
        <w:t>„Resursni centar za organizacije civilnog društva u BiH“</w:t>
      </w:r>
      <w:r>
        <w:rPr>
          <w:rFonts w:eastAsia="Times New Roman" w:cstheme="minorHAnsi"/>
          <w:lang w:eastAsia="bs-Latn-BA"/>
        </w:rPr>
        <w:t xml:space="preserve"> objavljuje </w:t>
      </w:r>
      <w:r w:rsidRPr="00FE60BA">
        <w:rPr>
          <w:rFonts w:eastAsia="Times New Roman" w:cstheme="minorHAnsi"/>
          <w:lang w:eastAsia="bs-Latn-BA"/>
        </w:rPr>
        <w:t xml:space="preserve"> javni poziv za angažman mentora/mentorice za pružanje stručne podrške organizacijama civilnog društva (OCD) u oblasti </w:t>
      </w:r>
      <w:r w:rsidR="00A64C64">
        <w:rPr>
          <w:rFonts w:eastAsia="Times New Roman" w:cstheme="minorHAnsi"/>
          <w:lang w:eastAsia="bs-Latn-BA"/>
        </w:rPr>
        <w:t>finansijskog upravljanja i održivosti</w:t>
      </w:r>
      <w:r>
        <w:rPr>
          <w:rFonts w:ascii="Calibri" w:hAnsi="Calibri" w:cs="Calibri"/>
        </w:rPr>
        <w:t>:</w:t>
      </w:r>
    </w:p>
    <w:p w:rsidR="00817DBF" w:rsidRPr="00903BEA" w:rsidRDefault="00817DBF" w:rsidP="00817DBF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B489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JAVNI POZIV ZA IZBOR MENTORA/MENTORICE</w:t>
      </w:r>
    </w:p>
    <w:p w:rsidR="00817DBF" w:rsidRPr="00903BEA" w:rsidRDefault="00817DBF" w:rsidP="00817DBF">
      <w:pPr>
        <w:pStyle w:val="Heading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03BEA">
        <w:rPr>
          <w:rFonts w:asciiTheme="minorHAnsi" w:hAnsiTheme="minorHAnsi" w:cstheme="minorHAnsi"/>
          <w:b/>
          <w:color w:val="auto"/>
          <w:sz w:val="22"/>
          <w:szCs w:val="22"/>
        </w:rPr>
        <w:t xml:space="preserve">u oblasti </w:t>
      </w:r>
      <w:r w:rsidR="00166C37" w:rsidRPr="00903BEA">
        <w:rPr>
          <w:rFonts w:asciiTheme="minorHAnsi" w:hAnsiTheme="minorHAnsi" w:cstheme="minorHAnsi"/>
          <w:b/>
          <w:color w:val="auto"/>
          <w:sz w:val="22"/>
          <w:szCs w:val="22"/>
        </w:rPr>
        <w:t xml:space="preserve">finansijskog </w:t>
      </w:r>
      <w:r w:rsidRPr="00903BEA">
        <w:rPr>
          <w:rFonts w:asciiTheme="minorHAnsi" w:hAnsiTheme="minorHAnsi" w:cstheme="minorHAnsi"/>
          <w:b/>
          <w:color w:val="auto"/>
          <w:sz w:val="22"/>
          <w:szCs w:val="22"/>
        </w:rPr>
        <w:t xml:space="preserve">upravljanja </w:t>
      </w:r>
      <w:r w:rsidR="00166C37" w:rsidRPr="00903BEA">
        <w:rPr>
          <w:rFonts w:asciiTheme="minorHAnsi" w:hAnsiTheme="minorHAnsi" w:cstheme="minorHAnsi"/>
          <w:b/>
          <w:color w:val="auto"/>
          <w:sz w:val="22"/>
          <w:szCs w:val="22"/>
        </w:rPr>
        <w:t>i održivosti</w:t>
      </w:r>
    </w:p>
    <w:p w:rsidR="00817DBF" w:rsidRPr="00817DBF" w:rsidRDefault="00817DBF" w:rsidP="00817DBF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>1. Predmet poziva</w:t>
      </w:r>
    </w:p>
    <w:p w:rsidR="00A64C64" w:rsidRPr="00A64C64" w:rsidRDefault="00A64C64" w:rsidP="00A64C6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bs-Latn-BA"/>
        </w:rPr>
      </w:pPr>
      <w:r w:rsidRPr="00A64C64">
        <w:rPr>
          <w:rFonts w:eastAsia="Times New Roman" w:cstheme="minorHAnsi"/>
          <w:lang w:eastAsia="bs-Latn-BA"/>
        </w:rPr>
        <w:t xml:space="preserve">Predmet ovog javnog poziva je izbor </w:t>
      </w:r>
      <w:r w:rsidRPr="00A64C64">
        <w:rPr>
          <w:rFonts w:eastAsia="Times New Roman" w:cstheme="minorHAnsi"/>
          <w:b/>
          <w:bCs/>
          <w:lang w:eastAsia="bs-Latn-BA"/>
        </w:rPr>
        <w:t>dva (2) mentora/mentorice</w:t>
      </w:r>
      <w:r w:rsidRPr="00A64C64">
        <w:rPr>
          <w:rFonts w:eastAsia="Times New Roman" w:cstheme="minorHAnsi"/>
          <w:lang w:eastAsia="bs-Latn-BA"/>
        </w:rPr>
        <w:t xml:space="preserve"> za pružanje stručne i mentorske podrške organizacijama civilnog društva u oblasti finansijskog upravljanja i održivosti.</w:t>
      </w:r>
    </w:p>
    <w:p w:rsidR="00A64C64" w:rsidRPr="00A64C64" w:rsidRDefault="00A64C64" w:rsidP="00A64C6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bs-Latn-BA"/>
        </w:rPr>
      </w:pPr>
      <w:r w:rsidRPr="00A64C64">
        <w:rPr>
          <w:rFonts w:eastAsia="Times New Roman" w:cstheme="minorHAnsi"/>
          <w:lang w:eastAsia="bs-Latn-BA"/>
        </w:rPr>
        <w:t xml:space="preserve">Svaki mentor/mentorica će </w:t>
      </w:r>
      <w:r w:rsidRPr="00903BEA">
        <w:rPr>
          <w:rFonts w:eastAsia="Times New Roman" w:cstheme="minorHAnsi"/>
          <w:lang w:eastAsia="bs-Latn-BA"/>
        </w:rPr>
        <w:t>raditi sa</w:t>
      </w:r>
      <w:r w:rsidR="007B4897" w:rsidRPr="00903BEA">
        <w:rPr>
          <w:rFonts w:eastAsia="Times New Roman" w:cstheme="minorHAnsi"/>
          <w:lang w:eastAsia="bs-Latn-BA"/>
        </w:rPr>
        <w:t xml:space="preserve"> do</w:t>
      </w:r>
      <w:r w:rsidRPr="00903BEA">
        <w:rPr>
          <w:rFonts w:eastAsia="Times New Roman" w:cstheme="minorHAnsi"/>
          <w:lang w:eastAsia="bs-Latn-BA"/>
        </w:rPr>
        <w:t xml:space="preserve"> </w:t>
      </w:r>
      <w:r w:rsidRPr="00903BEA">
        <w:rPr>
          <w:rFonts w:eastAsia="Times New Roman" w:cstheme="minorHAnsi"/>
          <w:b/>
          <w:bCs/>
          <w:lang w:eastAsia="bs-Latn-BA"/>
        </w:rPr>
        <w:t>tri (3) organizacije civilnog društva (OCD)</w:t>
      </w:r>
      <w:r w:rsidR="007B4897" w:rsidRPr="00903BEA">
        <w:rPr>
          <w:rFonts w:eastAsia="Times New Roman" w:cstheme="minorHAnsi"/>
          <w:lang w:eastAsia="bs-Latn-BA"/>
        </w:rPr>
        <w:t xml:space="preserve"> u skladu sa potrebama projekta i raspoloživim budžetom.</w:t>
      </w:r>
    </w:p>
    <w:p w:rsidR="001F5A50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Svrha </w:t>
      </w:r>
      <w:r w:rsidR="002B58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i ciljevi </w:t>
      </w: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angažmana </w:t>
      </w:r>
    </w:p>
    <w:p w:rsidR="00A64C64" w:rsidRPr="00A64C64" w:rsidRDefault="00A64C64" w:rsidP="00A64C64">
      <w:pPr>
        <w:spacing w:before="100" w:beforeAutospacing="1" w:after="100" w:afterAutospacing="1" w:line="240" w:lineRule="auto"/>
        <w:rPr>
          <w:rFonts w:eastAsia="Times New Roman" w:cstheme="minorHAnsi"/>
          <w:lang w:eastAsia="bs-Latn-BA"/>
        </w:rPr>
      </w:pPr>
      <w:r w:rsidRPr="00A64C64">
        <w:rPr>
          <w:rFonts w:eastAsia="Times New Roman" w:cstheme="minorHAnsi"/>
          <w:lang w:eastAsia="bs-Latn-BA"/>
        </w:rPr>
        <w:t>Opšti cilj angažmana je unapređenje finansijskog upravljanja i održivosti OCD.</w:t>
      </w:r>
    </w:p>
    <w:p w:rsidR="00A64C64" w:rsidRPr="00A64C64" w:rsidRDefault="00A64C64" w:rsidP="00A64C64">
      <w:pPr>
        <w:spacing w:before="100" w:beforeAutospacing="1" w:after="100" w:afterAutospacing="1" w:line="240" w:lineRule="auto"/>
        <w:rPr>
          <w:rFonts w:eastAsia="Times New Roman" w:cstheme="minorHAnsi"/>
          <w:lang w:eastAsia="bs-Latn-BA"/>
        </w:rPr>
      </w:pPr>
      <w:r w:rsidRPr="00A64C64">
        <w:rPr>
          <w:rFonts w:eastAsia="Times New Roman" w:cstheme="minorHAnsi"/>
          <w:lang w:eastAsia="bs-Latn-BA"/>
        </w:rPr>
        <w:t>Specifični ciljevi uključuju:</w:t>
      </w:r>
    </w:p>
    <w:p w:rsidR="00A64C64" w:rsidRPr="00A64C64" w:rsidRDefault="00A64C64" w:rsidP="00A64C64">
      <w:pPr>
        <w:spacing w:before="100" w:beforeAutospacing="1" w:after="100" w:afterAutospacing="1" w:line="240" w:lineRule="auto"/>
        <w:rPr>
          <w:rFonts w:eastAsia="Times New Roman" w:cstheme="minorHAnsi"/>
          <w:lang w:eastAsia="bs-Latn-BA"/>
        </w:rPr>
      </w:pPr>
      <w:r w:rsidRPr="00A64C64">
        <w:rPr>
          <w:rFonts w:eastAsia="Times New Roman" w:cstheme="minorHAnsi"/>
          <w:lang w:eastAsia="bs-Latn-BA"/>
        </w:rPr>
        <w:t>• Unaprijediti finansijsko planiranje i upravljanje</w:t>
      </w:r>
      <w:r w:rsidRPr="00A64C64">
        <w:rPr>
          <w:rFonts w:eastAsia="Times New Roman" w:cstheme="minorHAnsi"/>
          <w:lang w:eastAsia="bs-Latn-BA"/>
        </w:rPr>
        <w:br/>
        <w:t>• Podržati razvoj i primjenu finansijskih procedura</w:t>
      </w:r>
      <w:r w:rsidRPr="00A64C64">
        <w:rPr>
          <w:rFonts w:eastAsia="Times New Roman" w:cstheme="minorHAnsi"/>
          <w:lang w:eastAsia="bs-Latn-BA"/>
        </w:rPr>
        <w:br/>
        <w:t>• Osnažiti finansijsko izvještavanje</w:t>
      </w:r>
      <w:r w:rsidRPr="00A64C64">
        <w:rPr>
          <w:rFonts w:eastAsia="Times New Roman" w:cstheme="minorHAnsi"/>
          <w:lang w:eastAsia="bs-Latn-BA"/>
        </w:rPr>
        <w:br/>
        <w:t>• Podržati razvoj održivosti i diverzifikacije izvora finansiranja</w:t>
      </w:r>
    </w:p>
    <w:p w:rsidR="005F300B" w:rsidRPr="00FA6653" w:rsidRDefault="005F300B" w:rsidP="00FA665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</w:rPr>
      </w:pPr>
    </w:p>
    <w:p w:rsidR="001F5A50" w:rsidRPr="00817DBF" w:rsidRDefault="001F5A50" w:rsidP="00FA6653">
      <w:pPr>
        <w:pStyle w:val="ListParagraph"/>
        <w:numPr>
          <w:ilvl w:val="0"/>
          <w:numId w:val="26"/>
        </w:numPr>
        <w:rPr>
          <w:rStyle w:val="Strong"/>
          <w:rFonts w:cstheme="minorHAnsi"/>
          <w:b w:val="0"/>
          <w:bCs w:val="0"/>
        </w:rPr>
      </w:pPr>
      <w:r w:rsidRPr="001F5A50">
        <w:rPr>
          <w:rStyle w:val="Strong"/>
          <w:rFonts w:cstheme="minorHAnsi"/>
        </w:rPr>
        <w:t xml:space="preserve"> Obim posla </w:t>
      </w:r>
    </w:p>
    <w:p w:rsidR="00817DBF" w:rsidRPr="00817DBF" w:rsidRDefault="00817DBF" w:rsidP="00817DBF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>Odabrani mentor/mentorica će pružiti mentorsku podršku za tri (3) OCD kroz sljedeće aktivnosti:</w:t>
      </w:r>
    </w:p>
    <w:p w:rsidR="00A64C64" w:rsidRDefault="00817DBF" w:rsidP="00A64C6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 xml:space="preserve">• </w:t>
      </w:r>
      <w:r w:rsidR="00A64C64" w:rsidRPr="00A64C64">
        <w:rPr>
          <w:rFonts w:asciiTheme="minorHAnsi" w:hAnsiTheme="minorHAnsi" w:cstheme="minorHAnsi"/>
          <w:sz w:val="22"/>
          <w:szCs w:val="22"/>
        </w:rPr>
        <w:t>Analiza finansijskih kapaciteta organizacija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Izrada plana mentorskog rada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Realizacija grupnih i individualnih sesija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Podrška u unapređenju finansijskih procedura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Podrška u izradi budžeta i izvještavanju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Savjetovanje o održivosti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Praćenje napretka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Koordinacija sa projektnim timom</w:t>
      </w:r>
      <w:r w:rsidR="00A64C64" w:rsidRPr="00A64C64">
        <w:rPr>
          <w:rFonts w:asciiTheme="minorHAnsi" w:hAnsiTheme="minorHAnsi" w:cstheme="minorHAnsi"/>
          <w:sz w:val="22"/>
          <w:szCs w:val="22"/>
        </w:rPr>
        <w:br/>
        <w:t>• Završni izvještaj</w:t>
      </w:r>
    </w:p>
    <w:p w:rsidR="00817DBF" w:rsidRDefault="00817DBF" w:rsidP="001F347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64C64">
        <w:rPr>
          <w:rFonts w:asciiTheme="minorHAnsi" w:hAnsiTheme="minorHAnsi" w:cstheme="minorHAnsi"/>
          <w:sz w:val="22"/>
          <w:szCs w:val="22"/>
        </w:rPr>
        <w:lastRenderedPageBreak/>
        <w:t>Mentorska podrška može biti pružena za maksimalno 3 organizacije civilnog društva po mentoru, u zavisnosti od potreba projekta i raspoloživog budžeta, pri čemu će tačan broj organizacija biti definisan ugovorom.</w:t>
      </w:r>
    </w:p>
    <w:p w:rsidR="007B4897" w:rsidRPr="00A64C64" w:rsidRDefault="007B4897" w:rsidP="00A64C64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7B489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Broj i intenzitet mentorskih sesija može biti prilagođen u skladu sa raspoloživim brojem radnih dana i specifičnim potrebama organizacija civilnog društva.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Očekivani rezultati </w:t>
      </w:r>
    </w:p>
    <w:p w:rsidR="001F5A50" w:rsidRPr="001F5A50" w:rsidRDefault="002038BC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Odabrani mentor/mentorica će biti</w:t>
      </w:r>
      <w:r w:rsidR="001F5A50" w:rsidRPr="001F5A50">
        <w:rPr>
          <w:rFonts w:asciiTheme="minorHAnsi" w:hAnsiTheme="minorHAnsi" w:cstheme="minorHAnsi"/>
          <w:sz w:val="22"/>
          <w:szCs w:val="22"/>
        </w:rPr>
        <w:t xml:space="preserve"> odgovoran</w:t>
      </w:r>
      <w:r>
        <w:rPr>
          <w:rFonts w:asciiTheme="minorHAnsi" w:hAnsiTheme="minorHAnsi" w:cstheme="minorHAnsi"/>
          <w:sz w:val="22"/>
          <w:szCs w:val="22"/>
        </w:rPr>
        <w:t>/na</w:t>
      </w:r>
      <w:r w:rsidR="001F5A50" w:rsidRPr="001F5A50">
        <w:rPr>
          <w:rFonts w:asciiTheme="minorHAnsi" w:hAnsiTheme="minorHAnsi" w:cstheme="minorHAnsi"/>
          <w:sz w:val="22"/>
          <w:szCs w:val="22"/>
        </w:rPr>
        <w:t xml:space="preserve"> za isporuku sljedećih rezultata:</w:t>
      </w:r>
    </w:p>
    <w:p w:rsidR="001F5A50" w:rsidRPr="00FA6653" w:rsidRDefault="001F5A50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F300B">
        <w:rPr>
          <w:rStyle w:val="Strong"/>
          <w:rFonts w:cstheme="minorHAnsi"/>
          <w:b w:val="0"/>
        </w:rPr>
        <w:t xml:space="preserve">Inicijalni </w:t>
      </w:r>
      <w:r w:rsidRPr="00FA6653">
        <w:rPr>
          <w:rStyle w:val="Strong"/>
          <w:rFonts w:cstheme="minorHAnsi"/>
        </w:rPr>
        <w:t xml:space="preserve">plan </w:t>
      </w:r>
      <w:r w:rsidR="002038BC" w:rsidRPr="00FA6653">
        <w:rPr>
          <w:rStyle w:val="Strong"/>
          <w:rFonts w:cstheme="minorHAnsi"/>
        </w:rPr>
        <w:t xml:space="preserve">mentorskog </w:t>
      </w:r>
      <w:r w:rsidRPr="00FA6653">
        <w:rPr>
          <w:rStyle w:val="Strong"/>
          <w:rFonts w:cstheme="minorHAnsi"/>
        </w:rPr>
        <w:t>rada</w:t>
      </w:r>
      <w:r w:rsidRPr="00FA6653">
        <w:rPr>
          <w:rFonts w:cstheme="minorHAnsi"/>
          <w:b/>
        </w:rPr>
        <w:t xml:space="preserve"> </w:t>
      </w:r>
      <w:r w:rsidR="002038BC" w:rsidRPr="00FA6653">
        <w:rPr>
          <w:rFonts w:cstheme="minorHAnsi"/>
        </w:rPr>
        <w:t>koji uključuje: kratak pregled pristupa radu, metodologiju mentorstva, vremenski okvir angažmana, plan aktivnosti i sesija, očekivane rezultate po organizaciji</w:t>
      </w:r>
    </w:p>
    <w:p w:rsidR="001F5A50" w:rsidRPr="00FA6653" w:rsidRDefault="002038BC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Style w:val="Strong"/>
          <w:rFonts w:cstheme="minorHAnsi"/>
          <w:b w:val="0"/>
        </w:rPr>
        <w:t xml:space="preserve">Realizacija </w:t>
      </w:r>
      <w:r w:rsidRPr="00FA6653">
        <w:rPr>
          <w:rStyle w:val="Strong"/>
          <w:rFonts w:cstheme="minorHAnsi"/>
        </w:rPr>
        <w:t>mentorskih sesija</w:t>
      </w:r>
      <w:r>
        <w:rPr>
          <w:rStyle w:val="Strong"/>
          <w:rFonts w:cstheme="minorHAnsi"/>
          <w:b w:val="0"/>
        </w:rPr>
        <w:t xml:space="preserve"> što uključuje: </w:t>
      </w:r>
      <w:r w:rsidR="007B4897">
        <w:rPr>
          <w:rStyle w:val="Strong"/>
          <w:rFonts w:cstheme="minorHAnsi"/>
          <w:b w:val="0"/>
        </w:rPr>
        <w:t xml:space="preserve">planirano </w:t>
      </w:r>
      <w:r>
        <w:rPr>
          <w:rStyle w:val="Strong"/>
          <w:rFonts w:cstheme="minorHAnsi"/>
          <w:b w:val="0"/>
        </w:rPr>
        <w:t>n</w:t>
      </w:r>
      <w:r w:rsidR="001F5A50" w:rsidRPr="001F5A50">
        <w:rPr>
          <w:rStyle w:val="Strong"/>
          <w:rFonts w:cstheme="minorHAnsi"/>
          <w:b w:val="0"/>
        </w:rPr>
        <w:t xml:space="preserve">ajmanje </w:t>
      </w:r>
      <w:r w:rsidR="00A64C64">
        <w:rPr>
          <w:rStyle w:val="Strong"/>
          <w:rFonts w:cstheme="minorHAnsi"/>
          <w:b w:val="0"/>
        </w:rPr>
        <w:t>1</w:t>
      </w:r>
      <w:r w:rsidR="001F5A50" w:rsidRPr="001F5A50">
        <w:rPr>
          <w:rStyle w:val="Strong"/>
          <w:rFonts w:cstheme="minorHAnsi"/>
          <w:b w:val="0"/>
        </w:rPr>
        <w:t xml:space="preserve"> grupn</w:t>
      </w:r>
      <w:r w:rsidR="00A64C64">
        <w:rPr>
          <w:rStyle w:val="Strong"/>
          <w:rFonts w:cstheme="minorHAnsi"/>
          <w:b w:val="0"/>
        </w:rPr>
        <w:t>u</w:t>
      </w:r>
      <w:r w:rsidR="00F83E59">
        <w:rPr>
          <w:rStyle w:val="Strong"/>
          <w:rFonts w:cstheme="minorHAnsi"/>
          <w:b w:val="0"/>
        </w:rPr>
        <w:t xml:space="preserve"> </w:t>
      </w:r>
      <w:r w:rsidR="001F5A50" w:rsidRPr="001F5A50">
        <w:rPr>
          <w:rStyle w:val="Strong"/>
          <w:rFonts w:cstheme="minorHAnsi"/>
          <w:b w:val="0"/>
        </w:rPr>
        <w:t>mentorsk</w:t>
      </w:r>
      <w:r w:rsidR="00A64C64">
        <w:rPr>
          <w:rStyle w:val="Strong"/>
          <w:rFonts w:cstheme="minorHAnsi"/>
          <w:b w:val="0"/>
        </w:rPr>
        <w:t>u</w:t>
      </w:r>
      <w:r w:rsidR="001F5A50" w:rsidRPr="001F5A50">
        <w:rPr>
          <w:rStyle w:val="Strong"/>
          <w:rFonts w:cstheme="minorHAnsi"/>
          <w:b w:val="0"/>
        </w:rPr>
        <w:t xml:space="preserve"> sesij</w:t>
      </w:r>
      <w:r w:rsidR="00A64C64">
        <w:rPr>
          <w:rStyle w:val="Strong"/>
          <w:rFonts w:cstheme="minorHAnsi"/>
          <w:b w:val="0"/>
        </w:rPr>
        <w:t>u</w:t>
      </w:r>
      <w:r>
        <w:rPr>
          <w:rStyle w:val="Strong"/>
          <w:rFonts w:cstheme="minorHAnsi"/>
          <w:b w:val="0"/>
        </w:rPr>
        <w:t xml:space="preserve"> i </w:t>
      </w:r>
      <w:r w:rsidR="007B4897">
        <w:rPr>
          <w:rStyle w:val="Strong"/>
          <w:rFonts w:cstheme="minorHAnsi"/>
          <w:b w:val="0"/>
        </w:rPr>
        <w:t>okvirno</w:t>
      </w:r>
      <w:r w:rsidR="007B4897" w:rsidRPr="005F300B">
        <w:rPr>
          <w:rStyle w:val="Strong"/>
          <w:rFonts w:cstheme="minorHAnsi"/>
          <w:b w:val="0"/>
        </w:rPr>
        <w:t xml:space="preserve"> </w:t>
      </w:r>
      <w:r w:rsidR="0056602E" w:rsidRPr="005F300B">
        <w:rPr>
          <w:rStyle w:val="Strong"/>
          <w:rFonts w:cstheme="minorHAnsi"/>
          <w:b w:val="0"/>
        </w:rPr>
        <w:t>2-3</w:t>
      </w:r>
      <w:r w:rsidR="005F300B">
        <w:rPr>
          <w:rStyle w:val="Strong"/>
          <w:rFonts w:cstheme="minorHAnsi"/>
          <w:b w:val="0"/>
        </w:rPr>
        <w:t xml:space="preserve"> </w:t>
      </w:r>
      <w:r w:rsidR="001F5A50" w:rsidRPr="005F300B">
        <w:rPr>
          <w:rStyle w:val="Strong"/>
          <w:rFonts w:cstheme="minorHAnsi"/>
          <w:b w:val="0"/>
        </w:rPr>
        <w:t>individualne</w:t>
      </w:r>
      <w:r w:rsidRPr="005F300B">
        <w:rPr>
          <w:rStyle w:val="Strong"/>
          <w:rFonts w:cstheme="minorHAnsi"/>
          <w:b w:val="0"/>
        </w:rPr>
        <w:t xml:space="preserve"> mentorske</w:t>
      </w:r>
      <w:r w:rsidR="001F5A50" w:rsidRPr="005F300B">
        <w:rPr>
          <w:rStyle w:val="Strong"/>
          <w:rFonts w:cstheme="minorHAnsi"/>
          <w:b w:val="0"/>
        </w:rPr>
        <w:t xml:space="preserve"> sesije po organizaciji</w:t>
      </w:r>
      <w:r w:rsidR="007B4897">
        <w:rPr>
          <w:rStyle w:val="Strong"/>
          <w:rFonts w:cstheme="minorHAnsi"/>
          <w:b w:val="0"/>
        </w:rPr>
        <w:t xml:space="preserve"> u skladu sa potrebama i raspoloživim vremenom</w:t>
      </w:r>
      <w:r w:rsidRPr="00FA6653">
        <w:rPr>
          <w:rFonts w:cstheme="minorHAnsi"/>
          <w:b/>
        </w:rPr>
        <w:t>.</w:t>
      </w:r>
      <w:r w:rsidR="005F300B">
        <w:rPr>
          <w:rFonts w:cstheme="minorHAnsi"/>
          <w:b/>
        </w:rPr>
        <w:t xml:space="preserve"> </w:t>
      </w:r>
      <w:r w:rsidR="0056602E" w:rsidRPr="00FA6653">
        <w:rPr>
          <w:rFonts w:cstheme="minorHAnsi"/>
        </w:rPr>
        <w:t>Mentor/mentorica je dužan/na rasporediti angažman ravnomjerno između dodijeljenih organizacija, u skladu sa ukupnim brojem radnih dana.</w:t>
      </w:r>
    </w:p>
    <w:p w:rsidR="00F83E59" w:rsidRDefault="00A64C64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Style w:val="Strong"/>
          <w:rFonts w:cstheme="minorHAnsi"/>
          <w:b w:val="0"/>
          <w:bCs w:val="0"/>
        </w:rPr>
      </w:pPr>
      <w:r>
        <w:t>Unaprijeđeni finansijski dokumenti (npr. pravilnici, budžeti, alati za praćenje)</w:t>
      </w:r>
      <w:r w:rsidR="00F83E59">
        <w:rPr>
          <w:rStyle w:val="Strong"/>
          <w:rFonts w:cstheme="minorHAnsi"/>
          <w:b w:val="0"/>
          <w:bCs w:val="0"/>
        </w:rPr>
        <w:t xml:space="preserve">. </w:t>
      </w:r>
    </w:p>
    <w:p w:rsidR="00A64C64" w:rsidRPr="00A64C64" w:rsidRDefault="00AF5FA7" w:rsidP="00A64C6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Style w:val="Strong"/>
          <w:rFonts w:cstheme="minorHAnsi"/>
          <w:b w:val="0"/>
          <w:bCs w:val="0"/>
        </w:rPr>
      </w:pPr>
      <w:r w:rsidRPr="005F300B">
        <w:rPr>
          <w:rStyle w:val="Strong"/>
          <w:rFonts w:cstheme="minorHAnsi"/>
          <w:b w:val="0"/>
        </w:rPr>
        <w:t xml:space="preserve">Dostaviti </w:t>
      </w:r>
      <w:r w:rsidR="001F5A50" w:rsidRPr="005F300B">
        <w:rPr>
          <w:rStyle w:val="Strong"/>
          <w:rFonts w:cstheme="minorHAnsi"/>
          <w:b w:val="0"/>
        </w:rPr>
        <w:t>Završni izvještaj o provedenom procesu mentorstva</w:t>
      </w:r>
      <w:r w:rsidRPr="005F300B">
        <w:rPr>
          <w:rStyle w:val="Strong"/>
          <w:rFonts w:cstheme="minorHAnsi"/>
          <w:b w:val="0"/>
        </w:rPr>
        <w:t xml:space="preserve"> koji minimalno sadrži: pregled re</w:t>
      </w:r>
      <w:r w:rsidR="007B4897">
        <w:rPr>
          <w:rStyle w:val="Strong"/>
          <w:rFonts w:cstheme="minorHAnsi"/>
          <w:b w:val="0"/>
        </w:rPr>
        <w:t>a</w:t>
      </w:r>
      <w:r w:rsidRPr="005F300B">
        <w:rPr>
          <w:rStyle w:val="Strong"/>
          <w:rFonts w:cstheme="minorHAnsi"/>
          <w:b w:val="0"/>
        </w:rPr>
        <w:t xml:space="preserve">lizovanih aktivnosti, sažet opis pružene podrške, pregled izrađenih ili unaprijeđenih dokumenta, procjenu napretka organizacije, preporuke za dalji razvoj i navedene korake. </w:t>
      </w:r>
    </w:p>
    <w:p w:rsidR="001F5A50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Trajanje i nivo angažmana </w:t>
      </w:r>
    </w:p>
    <w:p w:rsidR="001F5A50" w:rsidRPr="001F5A50" w:rsidRDefault="001F5A50" w:rsidP="00FA6653">
      <w:pPr>
        <w:pStyle w:val="Heading3"/>
        <w:jc w:val="both"/>
      </w:pPr>
      <w:r w:rsidRPr="00FA6653">
        <w:rPr>
          <w:rFonts w:asciiTheme="minorHAnsi" w:hAnsiTheme="minorHAnsi" w:cstheme="minorHAnsi"/>
          <w:b w:val="0"/>
          <w:bCs w:val="0"/>
          <w:sz w:val="22"/>
          <w:szCs w:val="22"/>
        </w:rPr>
        <w:t>Ukupno</w:t>
      </w:r>
      <w:r w:rsidR="00AF5F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planirano</w:t>
      </w:r>
      <w:r w:rsidRPr="00FA665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trajanje angažman</w:t>
      </w:r>
      <w:r w:rsidR="00AF5F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je do 2 (dva) mjeseca od dana zaključenja ugovora. </w:t>
      </w:r>
    </w:p>
    <w:p w:rsidR="00AF5FA7" w:rsidRDefault="001F5A50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5A50">
        <w:rPr>
          <w:rFonts w:cstheme="minorHAnsi"/>
        </w:rPr>
        <w:t xml:space="preserve">Procijenjeni nivo angažmana: do </w:t>
      </w:r>
      <w:r w:rsidRPr="00824EB1">
        <w:rPr>
          <w:rStyle w:val="Strong"/>
          <w:rFonts w:cstheme="minorHAnsi"/>
          <w:b w:val="0"/>
        </w:rPr>
        <w:t>5 radnih dana</w:t>
      </w:r>
      <w:r w:rsidR="00AF5FA7">
        <w:rPr>
          <w:rStyle w:val="Strong"/>
          <w:rFonts w:cstheme="minorHAnsi"/>
          <w:b w:val="0"/>
        </w:rPr>
        <w:t xml:space="preserve"> što predstavlja okvirno </w:t>
      </w:r>
      <w:r w:rsidR="000C3828">
        <w:rPr>
          <w:rStyle w:val="Strong"/>
          <w:rFonts w:cstheme="minorHAnsi"/>
          <w:b w:val="0"/>
        </w:rPr>
        <w:t>35</w:t>
      </w:r>
      <w:r w:rsidR="00AF5FA7">
        <w:rPr>
          <w:rStyle w:val="Strong"/>
          <w:rFonts w:cstheme="minorHAnsi"/>
          <w:b w:val="0"/>
        </w:rPr>
        <w:t xml:space="preserve"> radnih sati, raspoređenih unutar navedenog dvomjese</w:t>
      </w:r>
      <w:r w:rsidR="000C3828">
        <w:rPr>
          <w:rStyle w:val="Strong"/>
          <w:rFonts w:cstheme="minorHAnsi"/>
          <w:b w:val="0"/>
        </w:rPr>
        <w:t>č</w:t>
      </w:r>
      <w:r w:rsidR="00AF5FA7">
        <w:rPr>
          <w:rStyle w:val="Strong"/>
          <w:rFonts w:cstheme="minorHAnsi"/>
          <w:b w:val="0"/>
        </w:rPr>
        <w:t>nog perida</w:t>
      </w:r>
      <w:r w:rsidR="00AF5FA7">
        <w:rPr>
          <w:rFonts w:cstheme="minorHAnsi"/>
        </w:rPr>
        <w:t>.</w:t>
      </w:r>
    </w:p>
    <w:p w:rsidR="001F5A50" w:rsidRDefault="00AF5FA7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Tačna dinamika relizacije aktivnosti biće usaglašena sa odabranim mentorom/mentoricom i definisana ugovorom. </w:t>
      </w:r>
    </w:p>
    <w:p w:rsidR="007B4897" w:rsidRPr="00824EB1" w:rsidRDefault="007B4897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7B4897">
        <w:rPr>
          <w:rFonts w:cstheme="minorHAnsi"/>
        </w:rPr>
        <w:t>Navedeni broj radnih dana predstavlja maksimalni okvir angažmana, a raspodjela aktivnosti biće prilagođena u skladu sa dinamikom realizacije i potrebama projekta.</w:t>
      </w:r>
    </w:p>
    <w:p w:rsidR="00824EB1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5FA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Uslovi i k</w:t>
      </w:r>
      <w:r w:rsidR="00AF5FA7"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>valifikacije</w:t>
      </w:r>
    </w:p>
    <w:p w:rsidR="001F5A50" w:rsidRPr="00824EB1" w:rsidRDefault="001F5A50" w:rsidP="00824EB1">
      <w:pPr>
        <w:pStyle w:val="Heading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24EB1">
        <w:rPr>
          <w:rFonts w:asciiTheme="minorHAnsi" w:hAnsiTheme="minorHAnsi" w:cstheme="minorHAnsi"/>
          <w:b w:val="0"/>
          <w:sz w:val="22"/>
          <w:szCs w:val="22"/>
        </w:rPr>
        <w:t>Konsultant treba ispunjavati sljedeće uslove:</w:t>
      </w:r>
    </w:p>
    <w:p w:rsidR="00F83E59" w:rsidRDefault="001F5A50" w:rsidP="001073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83E59">
        <w:rPr>
          <w:rFonts w:cstheme="minorHAnsi"/>
        </w:rPr>
        <w:t xml:space="preserve">Minimalno 3 godine relevantnog </w:t>
      </w:r>
      <w:r w:rsidR="000C3828" w:rsidRPr="00F83E59">
        <w:rPr>
          <w:rFonts w:cstheme="minorHAnsi"/>
        </w:rPr>
        <w:t xml:space="preserve">profesionalnog </w:t>
      </w:r>
      <w:r w:rsidRPr="00F83E59">
        <w:rPr>
          <w:rFonts w:cstheme="minorHAnsi"/>
        </w:rPr>
        <w:t xml:space="preserve">iskustva </w:t>
      </w:r>
      <w:r w:rsidR="00F83E59" w:rsidRPr="00F83E59">
        <w:rPr>
          <w:rFonts w:cstheme="minorHAnsi"/>
        </w:rPr>
        <w:t xml:space="preserve">u </w:t>
      </w:r>
      <w:r w:rsidR="00A64C64">
        <w:rPr>
          <w:rFonts w:cstheme="minorHAnsi"/>
        </w:rPr>
        <w:t>finansijskom sektoru (poželjno u OCD)</w:t>
      </w:r>
    </w:p>
    <w:p w:rsidR="001F5A50" w:rsidRPr="00F83E59" w:rsidRDefault="001F5A50" w:rsidP="001073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83E59">
        <w:rPr>
          <w:rFonts w:cstheme="minorHAnsi"/>
        </w:rPr>
        <w:t xml:space="preserve">Dokazano iskustvo </w:t>
      </w:r>
      <w:r w:rsidR="00A64C64" w:rsidRPr="00A64C64">
        <w:rPr>
          <w:rFonts w:eastAsia="Times New Roman" w:cstheme="minorHAnsi"/>
          <w:lang w:eastAsia="bs-Latn-BA"/>
        </w:rPr>
        <w:t>u izradi budžeta i finansijskom izvještavanju</w:t>
      </w:r>
    </w:p>
    <w:p w:rsidR="001F5A50" w:rsidRPr="00BC50C9" w:rsidRDefault="00166C37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A64C64">
        <w:rPr>
          <w:rFonts w:eastAsia="Times New Roman" w:cstheme="minorHAnsi"/>
          <w:lang w:eastAsia="bs-Latn-BA"/>
        </w:rPr>
        <w:t>Poznavanje donatorskih finansijskih pravila</w:t>
      </w:r>
    </w:p>
    <w:p w:rsidR="00BC50C9" w:rsidRPr="00FA6653" w:rsidRDefault="00BC50C9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bs-Latn-BA"/>
        </w:rPr>
        <w:lastRenderedPageBreak/>
        <w:t>Poznavanje projektnog ciklusa i donatorskih procedura</w:t>
      </w:r>
    </w:p>
    <w:p w:rsidR="00F83E59" w:rsidRPr="001F347C" w:rsidRDefault="00166C37" w:rsidP="001F347C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1F347C">
        <w:rPr>
          <w:rFonts w:asciiTheme="minorHAnsi" w:hAnsiTheme="minorHAnsi" w:cstheme="minorHAnsi"/>
          <w:sz w:val="22"/>
          <w:szCs w:val="22"/>
        </w:rPr>
        <w:t>Iskustvo u mentorstvu ili savjetodavnom radu</w:t>
      </w:r>
    </w:p>
    <w:p w:rsidR="000C3828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Prednost će imati kandidati/kinje koji/e imaju: </w:t>
      </w:r>
    </w:p>
    <w:p w:rsidR="00A64C64" w:rsidRPr="00166C37" w:rsidRDefault="00F27474" w:rsidP="00166C37">
      <w:pPr>
        <w:pStyle w:val="ListParagraph"/>
        <w:spacing w:before="100" w:beforeAutospacing="1" w:after="100" w:afterAutospacing="1" w:line="240" w:lineRule="auto"/>
        <w:rPr>
          <w:rFonts w:cstheme="minorHAnsi"/>
        </w:rPr>
      </w:pPr>
      <w:r w:rsidRPr="00F27474">
        <w:rPr>
          <w:rFonts w:cstheme="minorHAnsi"/>
        </w:rPr>
        <w:t xml:space="preserve">• </w:t>
      </w:r>
      <w:r w:rsidR="00166C37" w:rsidRPr="00A64C64">
        <w:rPr>
          <w:rFonts w:eastAsia="Times New Roman" w:cstheme="minorHAnsi"/>
          <w:lang w:eastAsia="bs-Latn-BA"/>
        </w:rPr>
        <w:t>Iskustvo u radu na projektima međunarodnih donatora</w:t>
      </w:r>
      <w:r w:rsidRPr="00F27474">
        <w:rPr>
          <w:rFonts w:cstheme="minorHAnsi"/>
        </w:rPr>
        <w:br/>
        <w:t xml:space="preserve">• </w:t>
      </w:r>
      <w:r w:rsidR="00166C37" w:rsidRPr="00A64C64">
        <w:rPr>
          <w:rFonts w:eastAsia="Times New Roman" w:cstheme="minorHAnsi"/>
          <w:lang w:eastAsia="bs-Latn-BA"/>
        </w:rPr>
        <w:t>Iskustvo u</w:t>
      </w:r>
      <w:r w:rsidR="00166C37">
        <w:rPr>
          <w:rFonts w:eastAsia="Times New Roman" w:cstheme="minorHAnsi"/>
          <w:lang w:eastAsia="bs-Latn-BA"/>
        </w:rPr>
        <w:t xml:space="preserve"> razvoju finansijskih procedura</w:t>
      </w:r>
    </w:p>
    <w:p w:rsidR="00A64C64" w:rsidRDefault="00A64C64" w:rsidP="00F27474">
      <w:pPr>
        <w:pStyle w:val="ListParagraph"/>
        <w:spacing w:before="100" w:beforeAutospacing="1" w:after="100" w:afterAutospacing="1" w:line="240" w:lineRule="auto"/>
        <w:rPr>
          <w:rFonts w:cstheme="minorHAnsi"/>
        </w:rPr>
      </w:pPr>
    </w:p>
    <w:p w:rsidR="000C3828" w:rsidRPr="00FA6653" w:rsidRDefault="000C3828" w:rsidP="00FA66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FA6653">
        <w:rPr>
          <w:rFonts w:cstheme="minorHAnsi"/>
          <w:b/>
        </w:rPr>
        <w:t xml:space="preserve"> Vrsta ugovora </w:t>
      </w:r>
    </w:p>
    <w:p w:rsidR="000C3828" w:rsidRPr="00FA6653" w:rsidRDefault="000C3828" w:rsidP="000C382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Sa odabranim kandidatom/kinjom biće zaključen ugovor o </w:t>
      </w:r>
      <w:r>
        <w:rPr>
          <w:rFonts w:cstheme="minorHAnsi"/>
        </w:rPr>
        <w:t>djelu</w:t>
      </w:r>
      <w:r w:rsidRPr="00FA6653">
        <w:rPr>
          <w:rFonts w:cstheme="minorHAnsi"/>
        </w:rPr>
        <w:t xml:space="preserve"> / ugovor o pružanju konsultantskih usluga, u skladu sa pravilima projekta i važećim propisima u Bosni i Hercegovini.</w:t>
      </w:r>
    </w:p>
    <w:p w:rsidR="000C3828" w:rsidRPr="00FA6653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Angažman ne podrazumijeva zasnivanje radnog odnosa.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Budžet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 xml:space="preserve">Maksimalni raspoloživi budžet za ovaj angažman iznosi 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>2</w:t>
      </w:r>
      <w:r w:rsidR="005F300B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>900</w:t>
      </w:r>
      <w:r w:rsidR="005F300B">
        <w:rPr>
          <w:rStyle w:val="Strong"/>
          <w:rFonts w:asciiTheme="minorHAnsi" w:hAnsiTheme="minorHAnsi" w:cstheme="minorHAnsi"/>
          <w:sz w:val="22"/>
          <w:szCs w:val="22"/>
        </w:rPr>
        <w:t>,00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 xml:space="preserve"> KM (bruto)</w:t>
      </w:r>
      <w:r w:rsidRPr="001F5A50">
        <w:rPr>
          <w:rFonts w:asciiTheme="minorHAnsi" w:hAnsiTheme="minorHAnsi" w:cstheme="minorHAnsi"/>
          <w:sz w:val="22"/>
          <w:szCs w:val="22"/>
        </w:rPr>
        <w:t>, uključujući sve poreze</w:t>
      </w:r>
      <w:r w:rsidR="000C3828">
        <w:rPr>
          <w:rFonts w:asciiTheme="minorHAnsi" w:hAnsiTheme="minorHAnsi" w:cstheme="minorHAnsi"/>
          <w:sz w:val="22"/>
          <w:szCs w:val="22"/>
        </w:rPr>
        <w:t xml:space="preserve">, </w:t>
      </w:r>
      <w:r w:rsidRPr="001F5A50">
        <w:rPr>
          <w:rFonts w:asciiTheme="minorHAnsi" w:hAnsiTheme="minorHAnsi" w:cstheme="minorHAnsi"/>
          <w:sz w:val="22"/>
          <w:szCs w:val="22"/>
        </w:rPr>
        <w:t xml:space="preserve"> doprinose </w:t>
      </w:r>
      <w:r w:rsidR="000C3828">
        <w:rPr>
          <w:rFonts w:asciiTheme="minorHAnsi" w:hAnsiTheme="minorHAnsi" w:cstheme="minorHAnsi"/>
          <w:sz w:val="22"/>
          <w:szCs w:val="22"/>
        </w:rPr>
        <w:t xml:space="preserve">i druge pripadajuće troškove </w:t>
      </w:r>
      <w:r w:rsidRPr="001F5A50">
        <w:rPr>
          <w:rFonts w:asciiTheme="minorHAnsi" w:hAnsiTheme="minorHAnsi" w:cstheme="minorHAnsi"/>
          <w:sz w:val="22"/>
          <w:szCs w:val="22"/>
        </w:rPr>
        <w:t>u skladu sa zakonodavstvom BiH.</w:t>
      </w:r>
    </w:p>
    <w:p w:rsid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Finansijske ponude koje prelaze navedeni iznos neće biti razmatrane.</w:t>
      </w:r>
    </w:p>
    <w:p w:rsidR="000C3828" w:rsidRPr="001F5A50" w:rsidRDefault="000C3828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ponuđeni iznos kandidat/kinja treba uključiti sve troškove povezane sa realizacijom angažmana.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Način plaćanja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Plaćanje će se vršiti po principu isporučenih i odobrenih rezultata, kako slijedi:</w:t>
      </w:r>
    </w:p>
    <w:p w:rsidR="001F5A50" w:rsidRPr="00FA6653" w:rsidRDefault="001F5A50" w:rsidP="00FA665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50% </w:t>
      </w:r>
      <w:r w:rsidR="005F300B" w:rsidRPr="00FA6653">
        <w:rPr>
          <w:rFonts w:cstheme="minorHAnsi"/>
        </w:rPr>
        <w:t xml:space="preserve">od vrijednosti ugovora </w:t>
      </w:r>
      <w:r w:rsidRPr="00FA6653">
        <w:rPr>
          <w:rFonts w:cstheme="minorHAnsi"/>
        </w:rPr>
        <w:t xml:space="preserve">po realizaciji </w:t>
      </w:r>
      <w:r w:rsidR="00F27474">
        <w:rPr>
          <w:rFonts w:cstheme="minorHAnsi"/>
        </w:rPr>
        <w:t>grupnih mentorskih sesija</w:t>
      </w:r>
    </w:p>
    <w:p w:rsidR="001F5A50" w:rsidRPr="00FA6653" w:rsidRDefault="001F5A50" w:rsidP="00FA665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50%</w:t>
      </w:r>
      <w:r w:rsidR="005F300B" w:rsidRPr="00FA6653">
        <w:rPr>
          <w:rFonts w:cstheme="minorHAnsi"/>
        </w:rPr>
        <w:t xml:space="preserve"> od vrijednosti ugovora</w:t>
      </w:r>
      <w:r w:rsidRPr="00FA6653">
        <w:rPr>
          <w:rFonts w:cstheme="minorHAnsi"/>
        </w:rPr>
        <w:t xml:space="preserve"> po odobrenju završnog izvještaja </w:t>
      </w:r>
    </w:p>
    <w:p w:rsidR="000C3828" w:rsidRPr="00824EB1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Isplata će biti izvršena nakon pregleda i odobrenja dostavljenih rezultata od strane ugovornog tijela / naručioca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Procedura </w:t>
      </w:r>
      <w:r w:rsidR="000C3828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i kriterij </w:t>
      </w: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evaluacije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Evaluacija pristiglih prijava vršiće se u dvije faze:</w:t>
      </w:r>
    </w:p>
    <w:p w:rsidR="001F5A50" w:rsidRPr="00824EB1" w:rsidRDefault="001F5A50" w:rsidP="00824EB1">
      <w:pPr>
        <w:pStyle w:val="Heading4"/>
        <w:jc w:val="both"/>
        <w:rPr>
          <w:rFonts w:asciiTheme="minorHAnsi" w:hAnsiTheme="minorHAnsi" w:cstheme="minorHAnsi"/>
          <w:i w:val="0"/>
          <w:color w:val="000000" w:themeColor="text1"/>
        </w:rPr>
      </w:pPr>
      <w:r w:rsidRPr="00824EB1"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  <w:t>1. Tehnička evaluacija (80 bodova)</w:t>
      </w:r>
    </w:p>
    <w:p w:rsidR="001F5A50" w:rsidRPr="00FA6653" w:rsidRDefault="001F5A50" w:rsidP="00FA6653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Relevantno iskustvo i kvalifikacije</w:t>
      </w:r>
      <w:r w:rsidR="000C3828" w:rsidRPr="00FA6653">
        <w:rPr>
          <w:rFonts w:cstheme="minorHAnsi"/>
        </w:rPr>
        <w:t xml:space="preserve"> </w:t>
      </w:r>
      <w:r w:rsidRPr="00FA6653">
        <w:rPr>
          <w:rFonts w:cstheme="minorHAnsi"/>
        </w:rPr>
        <w:t xml:space="preserve"> – </w:t>
      </w:r>
      <w:r w:rsidR="000C3828" w:rsidRPr="00FA6653">
        <w:rPr>
          <w:rFonts w:cstheme="minorHAnsi"/>
        </w:rPr>
        <w:t xml:space="preserve">do </w:t>
      </w:r>
      <w:r w:rsidRPr="00FA6653">
        <w:rPr>
          <w:rFonts w:cstheme="minorHAnsi"/>
        </w:rPr>
        <w:t xml:space="preserve">40 bodova </w:t>
      </w:r>
    </w:p>
    <w:p w:rsidR="001F5A50" w:rsidRPr="00FA6653" w:rsidRDefault="001F5A50" w:rsidP="00FA6653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Kvalitet pristupa i metodologije – </w:t>
      </w:r>
      <w:r w:rsidR="000C3828" w:rsidRPr="00FA6653">
        <w:rPr>
          <w:rFonts w:cstheme="minorHAnsi"/>
        </w:rPr>
        <w:t xml:space="preserve">do </w:t>
      </w:r>
      <w:r w:rsidRPr="00FA6653">
        <w:rPr>
          <w:rFonts w:cstheme="minorHAnsi"/>
        </w:rPr>
        <w:t xml:space="preserve">40 bodova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Minimalni prag za prolaz u finansijsku evaluaciju je 60 bodova</w:t>
      </w:r>
      <w:r w:rsidR="000C3828">
        <w:rPr>
          <w:rFonts w:asciiTheme="minorHAnsi" w:hAnsiTheme="minorHAnsi" w:cstheme="minorHAnsi"/>
          <w:sz w:val="22"/>
          <w:szCs w:val="22"/>
        </w:rPr>
        <w:t xml:space="preserve"> u tehničkoj evaluaciji.</w:t>
      </w:r>
    </w:p>
    <w:p w:rsidR="001F5A50" w:rsidRDefault="001F5A50" w:rsidP="00824EB1">
      <w:pPr>
        <w:pStyle w:val="Heading4"/>
        <w:jc w:val="both"/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</w:pPr>
      <w:r w:rsidRPr="00824EB1"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  <w:lastRenderedPageBreak/>
        <w:t>2. Finansijska evaluacija (20 bodova)</w:t>
      </w:r>
    </w:p>
    <w:p w:rsidR="000C3828" w:rsidRPr="00FA6653" w:rsidRDefault="000C3828" w:rsidP="00FA6653">
      <w:pPr>
        <w:rPr>
          <w:i/>
        </w:rPr>
      </w:pP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0C3828">
        <w:rPr>
          <w:rFonts w:asciiTheme="minorHAnsi" w:eastAsiaTheme="minorHAnsi" w:hAnsiTheme="minorHAnsi" w:cstheme="minorHAnsi"/>
          <w:i w:val="0"/>
          <w:iCs w:val="0"/>
          <w:color w:val="auto"/>
        </w:rPr>
        <w:t>Finansijska evaluacija vršiće se na način da najniža prihvatljiva finansijska ponuda dobija maksimalnih 20 bodova, dok će ostale ponude biti bodovane proporcionalno, prema sljedećoj formuli:</w:t>
      </w: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</w:p>
    <w:p w:rsidR="000C3828" w:rsidRPr="00FA6653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Cs w:val="0"/>
          <w:color w:val="auto"/>
        </w:rPr>
      </w:pPr>
      <w:r w:rsidRPr="00FA6653">
        <w:rPr>
          <w:rFonts w:asciiTheme="minorHAnsi" w:eastAsiaTheme="minorHAnsi" w:hAnsiTheme="minorHAnsi" w:cstheme="minorHAnsi"/>
          <w:iCs w:val="0"/>
          <w:color w:val="auto"/>
        </w:rPr>
        <w:t>broj bodova = (najniža prihvatljiva ponuda / ponuđena cijena) x 20</w:t>
      </w: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</w:p>
    <w:p w:rsidR="00EF0F17" w:rsidRDefault="000C3828" w:rsidP="001F5A50">
      <w:pPr>
        <w:rPr>
          <w:rFonts w:cstheme="minorHAnsi"/>
        </w:rPr>
      </w:pPr>
      <w:r w:rsidRPr="000C3828">
        <w:rPr>
          <w:rFonts w:cstheme="minorHAnsi"/>
        </w:rPr>
        <w:t>Ugovor će biti dodijeljen kandidatu/kinji koji ostvari najveći ukupan broj bodova, kao zbir bodova tehničke i finansijske evaluacije.</w:t>
      </w:r>
    </w:p>
    <w:p w:rsidR="00EF0F17" w:rsidRPr="00FA6653" w:rsidRDefault="00EF0F17" w:rsidP="00FA6653">
      <w:pPr>
        <w:pStyle w:val="ListParagraph"/>
        <w:numPr>
          <w:ilvl w:val="0"/>
          <w:numId w:val="26"/>
        </w:numPr>
        <w:rPr>
          <w:rFonts w:cstheme="minorHAnsi"/>
          <w:b/>
        </w:rPr>
      </w:pPr>
      <w:r w:rsidRPr="00FA6653">
        <w:rPr>
          <w:rFonts w:cstheme="minorHAnsi"/>
          <w:b/>
        </w:rPr>
        <w:t xml:space="preserve"> Sukob interesa i povjerljivost</w:t>
      </w:r>
    </w:p>
    <w:p w:rsidR="00EF0F17" w:rsidRPr="00FA6653" w:rsidRDefault="00EF0F17" w:rsidP="00FA6653">
      <w:pPr>
        <w:jc w:val="both"/>
        <w:rPr>
          <w:rFonts w:cstheme="minorHAnsi"/>
        </w:rPr>
      </w:pPr>
      <w:r w:rsidRPr="00FA6653">
        <w:rPr>
          <w:rFonts w:cstheme="minorHAnsi"/>
        </w:rPr>
        <w:t>Kandidat/kinja je dužan/na prijaviti postojanje bilo kakvog stvarnog ili potencijalnog sukoba interesa koji bi mogao uticati na nepristrasnost i kvalitet izvršenja angažmana.</w:t>
      </w:r>
    </w:p>
    <w:p w:rsidR="001F5A50" w:rsidRPr="00F27474" w:rsidRDefault="00EF0F17" w:rsidP="00FA6653">
      <w:pPr>
        <w:jc w:val="both"/>
        <w:rPr>
          <w:rFonts w:cstheme="minorHAnsi"/>
        </w:rPr>
      </w:pPr>
      <w:r w:rsidRPr="00F27474">
        <w:rPr>
          <w:rFonts w:eastAsia="Times New Roman" w:cstheme="minorHAnsi"/>
          <w:lang w:eastAsia="bs-Latn-BA"/>
        </w:rPr>
        <w:t>Odabrani mentor/mentorica biće obavezan/na da sve informacije i dokumente do kojih dođe tokom realizacije angažmana tretira kao povjerljive i koristi isključivo za potrebe izvršenja ugovorenih obaveza.</w:t>
      </w:r>
    </w:p>
    <w:p w:rsidR="00824EB1" w:rsidRDefault="00824EB1" w:rsidP="00FA6653">
      <w:pPr>
        <w:pStyle w:val="Heading3"/>
        <w:numPr>
          <w:ilvl w:val="0"/>
          <w:numId w:val="26"/>
        </w:numPr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Potrebna dokumentacija i n</w:t>
      </w: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>ačin prijave</w:t>
      </w:r>
    </w:p>
    <w:p w:rsidR="001F5A50" w:rsidRPr="00824EB1" w:rsidRDefault="001F5A50" w:rsidP="00824EB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824EB1">
        <w:rPr>
          <w:rFonts w:asciiTheme="minorHAnsi" w:hAnsiTheme="minorHAnsi" w:cstheme="minorHAnsi"/>
          <w:b w:val="0"/>
          <w:sz w:val="22"/>
          <w:szCs w:val="22"/>
        </w:rPr>
        <w:t>Zainteresovani kandidati/kinje trebaju dostaviti</w:t>
      </w:r>
      <w:r w:rsidR="00EF0F17">
        <w:rPr>
          <w:rFonts w:asciiTheme="minorHAnsi" w:hAnsiTheme="minorHAnsi" w:cstheme="minorHAnsi"/>
          <w:b w:val="0"/>
          <w:sz w:val="22"/>
          <w:szCs w:val="22"/>
        </w:rPr>
        <w:t xml:space="preserve"> sljedeću dokumentaciju</w:t>
      </w:r>
      <w:r w:rsidRPr="00824EB1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Biografiju (CV)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Motivaciono pismo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Kratak opis pristupa radu (metodologija)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Finansijsku ponudu (izraženu u bruto iznosu) </w:t>
      </w:r>
    </w:p>
    <w:p w:rsidR="00EF0F17" w:rsidRPr="00FA6653" w:rsidRDefault="00784CCD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</w:t>
      </w:r>
      <w:r w:rsidR="00EF0F17" w:rsidRPr="00FA6653">
        <w:rPr>
          <w:rFonts w:cstheme="minorHAnsi"/>
        </w:rPr>
        <w:t>eference ili spisak relevantnih sličnih angažmana</w:t>
      </w:r>
    </w:p>
    <w:p w:rsidR="00EF0F17" w:rsidRPr="00FA6653" w:rsidRDefault="001F5A50" w:rsidP="00824EB1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Prijave se dostavljaju putem e-maila na adresu:</w:t>
      </w:r>
      <w:r w:rsidR="00EF0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F0F17" w:rsidRPr="00AA6AB2">
          <w:rPr>
            <w:rStyle w:val="Hyperlink"/>
            <w:rFonts w:asciiTheme="minorHAnsi" w:hAnsiTheme="minorHAnsi" w:cstheme="minorHAnsi"/>
            <w:sz w:val="22"/>
            <w:szCs w:val="22"/>
          </w:rPr>
          <w:t>mentorstvo@euresurs.ba</w:t>
        </w:r>
      </w:hyperlink>
      <w:r w:rsidR="00EF0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EF0F17" w:rsidRPr="00FA665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sa naznakom u Predmetu: </w:t>
      </w:r>
      <w:r w:rsidR="00EF0F17" w:rsidRPr="00EF0F17">
        <w:rPr>
          <w:rStyle w:val="Strong"/>
          <w:rFonts w:asciiTheme="minorHAnsi" w:hAnsiTheme="minorHAnsi" w:cstheme="minorHAnsi"/>
          <w:sz w:val="22"/>
          <w:szCs w:val="22"/>
        </w:rPr>
        <w:t xml:space="preserve">Prijava za angažman mentora/mentorice – </w:t>
      </w:r>
      <w:r w:rsidR="00166C37">
        <w:rPr>
          <w:rStyle w:val="Strong"/>
          <w:rFonts w:asciiTheme="minorHAnsi" w:hAnsiTheme="minorHAnsi" w:cstheme="minorHAnsi"/>
          <w:sz w:val="22"/>
          <w:szCs w:val="22"/>
        </w:rPr>
        <w:t>finansijsko upravljanje i održivost</w:t>
      </w:r>
    </w:p>
    <w:p w:rsidR="001F5A50" w:rsidRDefault="001F5A50" w:rsidP="00824EB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sz w:val="22"/>
          <w:szCs w:val="22"/>
        </w:rPr>
        <w:t>Rok za prijavu:</w:t>
      </w:r>
      <w:r w:rsidRPr="001F5A50">
        <w:rPr>
          <w:rFonts w:asciiTheme="minorHAnsi" w:hAnsiTheme="minorHAnsi" w:cstheme="minorHAnsi"/>
          <w:sz w:val="22"/>
          <w:szCs w:val="22"/>
        </w:rPr>
        <w:t xml:space="preserve"> </w:t>
      </w:r>
      <w:r w:rsidR="00C73E0D">
        <w:rPr>
          <w:rFonts w:asciiTheme="minorHAnsi" w:hAnsiTheme="minorHAnsi" w:cstheme="minorHAnsi"/>
          <w:sz w:val="22"/>
          <w:szCs w:val="22"/>
        </w:rPr>
        <w:t>0</w:t>
      </w:r>
      <w:r w:rsidR="00784CCD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Pr="00FA6653">
        <w:rPr>
          <w:rFonts w:asciiTheme="minorHAnsi" w:hAnsiTheme="minorHAnsi" w:cstheme="minorHAnsi"/>
          <w:sz w:val="22"/>
          <w:szCs w:val="22"/>
        </w:rPr>
        <w:t>.</w:t>
      </w:r>
      <w:r w:rsidR="00C73E0D" w:rsidRPr="00FA6653">
        <w:rPr>
          <w:rFonts w:asciiTheme="minorHAnsi" w:hAnsiTheme="minorHAnsi" w:cstheme="minorHAnsi"/>
          <w:sz w:val="22"/>
          <w:szCs w:val="22"/>
        </w:rPr>
        <w:t>0</w:t>
      </w:r>
      <w:r w:rsidR="00C73E0D">
        <w:rPr>
          <w:rFonts w:asciiTheme="minorHAnsi" w:hAnsiTheme="minorHAnsi" w:cstheme="minorHAnsi"/>
          <w:sz w:val="22"/>
          <w:szCs w:val="22"/>
        </w:rPr>
        <w:t>5</w:t>
      </w:r>
      <w:r w:rsidRPr="00FA6653">
        <w:rPr>
          <w:rFonts w:asciiTheme="minorHAnsi" w:hAnsiTheme="minorHAnsi" w:cstheme="minorHAnsi"/>
          <w:sz w:val="22"/>
          <w:szCs w:val="22"/>
        </w:rPr>
        <w:t>.2026.</w:t>
      </w:r>
      <w:r w:rsidR="00EF0F17">
        <w:rPr>
          <w:rFonts w:asciiTheme="minorHAnsi" w:hAnsiTheme="minorHAnsi" w:cstheme="minorHAnsi"/>
          <w:sz w:val="22"/>
          <w:szCs w:val="22"/>
        </w:rPr>
        <w:t xml:space="preserve"> do 16:00 h</w:t>
      </w:r>
    </w:p>
    <w:p w:rsidR="00EF0F17" w:rsidRPr="00EF0F17" w:rsidRDefault="00EF0F17" w:rsidP="00EF0F1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Prijave dostavljene nakon isteka navedenog ro</w:t>
      </w:r>
      <w:r>
        <w:rPr>
          <w:rFonts w:asciiTheme="minorHAnsi" w:hAnsiTheme="minorHAnsi" w:cstheme="minorHAnsi"/>
          <w:sz w:val="22"/>
          <w:szCs w:val="22"/>
        </w:rPr>
        <w:t>ka neće se uzeti u razmatranje.</w:t>
      </w:r>
    </w:p>
    <w:p w:rsidR="00EF0F17" w:rsidRPr="001F5A50" w:rsidRDefault="00EF0F17" w:rsidP="00EF0F1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Ponude moraju ostati važeće najmanje 30 dana od isteka roka za dostavu prijava.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Dodatne </w:t>
      </w:r>
      <w:r w:rsidR="00EF0F17"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>Napomen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e</w:t>
      </w:r>
    </w:p>
    <w:p w:rsidR="001F5A50" w:rsidRDefault="001F5A50" w:rsidP="00FA665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Biće kontaktirani samo kandidati/kinje koji uđu u uži izbor.</w:t>
      </w:r>
    </w:p>
    <w:p w:rsidR="00EF0F17" w:rsidRPr="00EF0F17" w:rsidRDefault="00EF0F17" w:rsidP="00EF0F1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Naručilac zadržava pravo da ne izvrši izbor ukoliko pristigle prijave ne zadovolje tražene uslove, kvalitet ili raspoloživi budžet.</w:t>
      </w:r>
    </w:p>
    <w:p w:rsidR="00EF0F17" w:rsidRPr="00EF0F17" w:rsidRDefault="00EF0F17" w:rsidP="00EF0F1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lastRenderedPageBreak/>
        <w:t>Naručilac zadržava pravo da zatraži dodatna pojašnjenja i/ili dokaznu dokumentaciju od kandidata/kinja tokom evaluacionog postupka.</w:t>
      </w:r>
    </w:p>
    <w:p w:rsidR="00824EB1" w:rsidRDefault="00EF0F17" w:rsidP="00FA6653">
      <w:pPr>
        <w:pStyle w:val="NormalWeb"/>
        <w:numPr>
          <w:ilvl w:val="0"/>
          <w:numId w:val="28"/>
        </w:numPr>
      </w:pPr>
      <w:r w:rsidRPr="00EF0F17">
        <w:rPr>
          <w:rFonts w:asciiTheme="minorHAnsi" w:hAnsiTheme="minorHAnsi" w:cstheme="minorHAnsi"/>
          <w:sz w:val="22"/>
          <w:szCs w:val="22"/>
        </w:rPr>
        <w:t>Ovaj javni poziv ne predstavlja obavezu zaključivanja ugovora sa bilo kojim kandidatom/kinjom.</w:t>
      </w:r>
    </w:p>
    <w:p w:rsidR="00F27474" w:rsidRDefault="00F27474" w:rsidP="00FE60BA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bs-Latn-BA"/>
        </w:rPr>
      </w:pPr>
    </w:p>
    <w:p w:rsidR="00FE60BA" w:rsidRPr="001F5A50" w:rsidRDefault="00FE60BA" w:rsidP="00FE60BA">
      <w:pPr>
        <w:spacing w:before="100" w:beforeAutospacing="1" w:after="100" w:afterAutospacing="1" w:line="240" w:lineRule="auto"/>
        <w:rPr>
          <w:rFonts w:eastAsia="Times New Roman" w:cstheme="minorHAnsi"/>
          <w:lang w:eastAsia="bs-Latn-BA"/>
        </w:rPr>
      </w:pPr>
      <w:r w:rsidRPr="00824EB1">
        <w:rPr>
          <w:rFonts w:eastAsia="Times New Roman" w:cstheme="minorHAnsi"/>
          <w:b/>
          <w:lang w:eastAsia="bs-Latn-BA"/>
        </w:rPr>
        <w:t>Za dodatne informacije</w:t>
      </w:r>
      <w:r w:rsidRPr="001F5A50">
        <w:rPr>
          <w:rFonts w:eastAsia="Times New Roman" w:cstheme="minorHAnsi"/>
          <w:lang w:eastAsia="bs-Latn-BA"/>
        </w:rPr>
        <w:t xml:space="preserve"> možete se obratiti putem e-maila: </w:t>
      </w:r>
      <w:hyperlink r:id="rId9" w:history="1">
        <w:r w:rsidR="004253EA" w:rsidRPr="001F5A50">
          <w:rPr>
            <w:rStyle w:val="Hyperlink"/>
            <w:rFonts w:cstheme="minorHAnsi"/>
            <w:i/>
            <w:iCs/>
          </w:rPr>
          <w:t>mentorstvo@euresurs.ba</w:t>
        </w:r>
      </w:hyperlink>
      <w:r w:rsidR="004253EA" w:rsidRPr="001F5A50">
        <w:rPr>
          <w:rFonts w:cstheme="minorHAnsi"/>
          <w:i/>
          <w:iCs/>
        </w:rPr>
        <w:t xml:space="preserve"> ili putem mobitela na broj 063/396-527</w:t>
      </w:r>
    </w:p>
    <w:p w:rsidR="000009AD" w:rsidRPr="001F5A50" w:rsidRDefault="000009AD">
      <w:pPr>
        <w:rPr>
          <w:rFonts w:cstheme="minorHAnsi"/>
        </w:rPr>
      </w:pPr>
    </w:p>
    <w:sectPr w:rsidR="000009AD" w:rsidRPr="001F5A5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D9" w:rsidRDefault="00F80BD9" w:rsidP="00FE60BA">
      <w:pPr>
        <w:spacing w:after="0" w:line="240" w:lineRule="auto"/>
      </w:pPr>
      <w:r>
        <w:separator/>
      </w:r>
    </w:p>
  </w:endnote>
  <w:endnote w:type="continuationSeparator" w:id="0">
    <w:p w:rsidR="00F80BD9" w:rsidRDefault="00F80BD9" w:rsidP="00FE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D9" w:rsidRDefault="00F80BD9" w:rsidP="00FE60BA">
      <w:pPr>
        <w:spacing w:after="0" w:line="240" w:lineRule="auto"/>
      </w:pPr>
      <w:r>
        <w:separator/>
      </w:r>
    </w:p>
  </w:footnote>
  <w:footnote w:type="continuationSeparator" w:id="0">
    <w:p w:rsidR="00F80BD9" w:rsidRDefault="00F80BD9" w:rsidP="00FE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BA" w:rsidRDefault="00FE60BA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9264" behindDoc="0" locked="0" layoutInCell="1" allowOverlap="1" wp14:anchorId="129C39A5" wp14:editId="0E5C209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9520" cy="16573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1F"/>
    <w:multiLevelType w:val="multilevel"/>
    <w:tmpl w:val="298E9B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534BD"/>
    <w:multiLevelType w:val="hybridMultilevel"/>
    <w:tmpl w:val="00120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E0794F"/>
    <w:multiLevelType w:val="multilevel"/>
    <w:tmpl w:val="42E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F6D98"/>
    <w:multiLevelType w:val="hybridMultilevel"/>
    <w:tmpl w:val="E954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560FA"/>
    <w:multiLevelType w:val="multilevel"/>
    <w:tmpl w:val="236439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A5774B"/>
    <w:multiLevelType w:val="multilevel"/>
    <w:tmpl w:val="7A3A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87BDD"/>
    <w:multiLevelType w:val="multilevel"/>
    <w:tmpl w:val="38EABC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85121D"/>
    <w:multiLevelType w:val="hybridMultilevel"/>
    <w:tmpl w:val="4CE8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C5CDA"/>
    <w:multiLevelType w:val="hybridMultilevel"/>
    <w:tmpl w:val="E618D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F37B7"/>
    <w:multiLevelType w:val="multilevel"/>
    <w:tmpl w:val="392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D53E4"/>
    <w:multiLevelType w:val="multilevel"/>
    <w:tmpl w:val="0E5C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569BF"/>
    <w:multiLevelType w:val="multilevel"/>
    <w:tmpl w:val="377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B3B35"/>
    <w:multiLevelType w:val="multilevel"/>
    <w:tmpl w:val="275E8E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73B9B"/>
    <w:multiLevelType w:val="multilevel"/>
    <w:tmpl w:val="EFCAC5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7594D"/>
    <w:multiLevelType w:val="multilevel"/>
    <w:tmpl w:val="4AEA56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A5F31"/>
    <w:multiLevelType w:val="multilevel"/>
    <w:tmpl w:val="5B7034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01271"/>
    <w:multiLevelType w:val="multilevel"/>
    <w:tmpl w:val="61E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F4833"/>
    <w:multiLevelType w:val="multilevel"/>
    <w:tmpl w:val="3D86CC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CA241C"/>
    <w:multiLevelType w:val="multilevel"/>
    <w:tmpl w:val="FCDE5B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002EA6"/>
    <w:multiLevelType w:val="hybridMultilevel"/>
    <w:tmpl w:val="C3DC8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93A52"/>
    <w:multiLevelType w:val="multilevel"/>
    <w:tmpl w:val="5A9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C6EB6"/>
    <w:multiLevelType w:val="multilevel"/>
    <w:tmpl w:val="27A8C7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627D3"/>
    <w:multiLevelType w:val="multilevel"/>
    <w:tmpl w:val="E42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E165C"/>
    <w:multiLevelType w:val="multilevel"/>
    <w:tmpl w:val="FA5EA2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782251"/>
    <w:multiLevelType w:val="multilevel"/>
    <w:tmpl w:val="897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F3859"/>
    <w:multiLevelType w:val="hybridMultilevel"/>
    <w:tmpl w:val="FB188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9F1BC3"/>
    <w:multiLevelType w:val="hybridMultilevel"/>
    <w:tmpl w:val="64E4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F2FEF"/>
    <w:multiLevelType w:val="multilevel"/>
    <w:tmpl w:val="650C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D7A25"/>
    <w:multiLevelType w:val="multilevel"/>
    <w:tmpl w:val="59C8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77DF4"/>
    <w:multiLevelType w:val="hybridMultilevel"/>
    <w:tmpl w:val="895E4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B85283"/>
    <w:multiLevelType w:val="multilevel"/>
    <w:tmpl w:val="786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E53FE"/>
    <w:multiLevelType w:val="multilevel"/>
    <w:tmpl w:val="FFA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5D0F84"/>
    <w:multiLevelType w:val="multilevel"/>
    <w:tmpl w:val="CA9C68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D941E8"/>
    <w:multiLevelType w:val="hybridMultilevel"/>
    <w:tmpl w:val="27B0002A"/>
    <w:lvl w:ilvl="0" w:tplc="74345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4F75FD"/>
    <w:multiLevelType w:val="hybridMultilevel"/>
    <w:tmpl w:val="5FC22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703F71"/>
    <w:multiLevelType w:val="hybridMultilevel"/>
    <w:tmpl w:val="1F265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5"/>
  </w:num>
  <w:num w:numId="5">
    <w:abstractNumId w:val="14"/>
  </w:num>
  <w:num w:numId="6">
    <w:abstractNumId w:val="0"/>
  </w:num>
  <w:num w:numId="7">
    <w:abstractNumId w:val="12"/>
  </w:num>
  <w:num w:numId="8">
    <w:abstractNumId w:val="32"/>
  </w:num>
  <w:num w:numId="9">
    <w:abstractNumId w:val="22"/>
  </w:num>
  <w:num w:numId="10">
    <w:abstractNumId w:val="2"/>
  </w:num>
  <w:num w:numId="11">
    <w:abstractNumId w:val="24"/>
  </w:num>
  <w:num w:numId="12">
    <w:abstractNumId w:val="28"/>
  </w:num>
  <w:num w:numId="13">
    <w:abstractNumId w:val="10"/>
  </w:num>
  <w:num w:numId="14">
    <w:abstractNumId w:val="9"/>
  </w:num>
  <w:num w:numId="15">
    <w:abstractNumId w:val="30"/>
  </w:num>
  <w:num w:numId="16">
    <w:abstractNumId w:val="11"/>
  </w:num>
  <w:num w:numId="17">
    <w:abstractNumId w:val="20"/>
  </w:num>
  <w:num w:numId="18">
    <w:abstractNumId w:val="17"/>
  </w:num>
  <w:num w:numId="19">
    <w:abstractNumId w:val="23"/>
  </w:num>
  <w:num w:numId="20">
    <w:abstractNumId w:val="15"/>
  </w:num>
  <w:num w:numId="21">
    <w:abstractNumId w:val="4"/>
  </w:num>
  <w:num w:numId="22">
    <w:abstractNumId w:val="21"/>
  </w:num>
  <w:num w:numId="23">
    <w:abstractNumId w:val="18"/>
  </w:num>
  <w:num w:numId="24">
    <w:abstractNumId w:val="13"/>
  </w:num>
  <w:num w:numId="25">
    <w:abstractNumId w:val="6"/>
  </w:num>
  <w:num w:numId="26">
    <w:abstractNumId w:val="3"/>
  </w:num>
  <w:num w:numId="27">
    <w:abstractNumId w:val="7"/>
  </w:num>
  <w:num w:numId="28">
    <w:abstractNumId w:val="26"/>
  </w:num>
  <w:num w:numId="29">
    <w:abstractNumId w:val="19"/>
  </w:num>
  <w:num w:numId="30">
    <w:abstractNumId w:val="35"/>
  </w:num>
  <w:num w:numId="31">
    <w:abstractNumId w:val="34"/>
  </w:num>
  <w:num w:numId="32">
    <w:abstractNumId w:val="8"/>
  </w:num>
  <w:num w:numId="33">
    <w:abstractNumId w:val="25"/>
  </w:num>
  <w:num w:numId="34">
    <w:abstractNumId w:val="29"/>
  </w:num>
  <w:num w:numId="35">
    <w:abstractNumId w:val="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F8"/>
    <w:rsid w:val="000009AD"/>
    <w:rsid w:val="000459CF"/>
    <w:rsid w:val="00073B2E"/>
    <w:rsid w:val="00091402"/>
    <w:rsid w:val="000C3828"/>
    <w:rsid w:val="000E2BB9"/>
    <w:rsid w:val="000E631E"/>
    <w:rsid w:val="00105936"/>
    <w:rsid w:val="00166C37"/>
    <w:rsid w:val="001D193D"/>
    <w:rsid w:val="001F347C"/>
    <w:rsid w:val="001F5A50"/>
    <w:rsid w:val="002038BC"/>
    <w:rsid w:val="00285B46"/>
    <w:rsid w:val="002B5805"/>
    <w:rsid w:val="004253EA"/>
    <w:rsid w:val="0056602E"/>
    <w:rsid w:val="00587559"/>
    <w:rsid w:val="005F300B"/>
    <w:rsid w:val="00654243"/>
    <w:rsid w:val="00784CCD"/>
    <w:rsid w:val="007B4897"/>
    <w:rsid w:val="00817DBF"/>
    <w:rsid w:val="00824EB1"/>
    <w:rsid w:val="0082617A"/>
    <w:rsid w:val="008A46CA"/>
    <w:rsid w:val="008B1470"/>
    <w:rsid w:val="008E0358"/>
    <w:rsid w:val="00903BEA"/>
    <w:rsid w:val="0095661F"/>
    <w:rsid w:val="009653D2"/>
    <w:rsid w:val="009D5416"/>
    <w:rsid w:val="009F15F0"/>
    <w:rsid w:val="00A4609F"/>
    <w:rsid w:val="00A5008D"/>
    <w:rsid w:val="00A64C64"/>
    <w:rsid w:val="00AD3525"/>
    <w:rsid w:val="00AF5FA7"/>
    <w:rsid w:val="00BC50C9"/>
    <w:rsid w:val="00C54E54"/>
    <w:rsid w:val="00C73E0D"/>
    <w:rsid w:val="00CB20BF"/>
    <w:rsid w:val="00CD3B2E"/>
    <w:rsid w:val="00D062F8"/>
    <w:rsid w:val="00ED7D61"/>
    <w:rsid w:val="00EF0F17"/>
    <w:rsid w:val="00F1379C"/>
    <w:rsid w:val="00F27474"/>
    <w:rsid w:val="00F43DC0"/>
    <w:rsid w:val="00F44B03"/>
    <w:rsid w:val="00F65248"/>
    <w:rsid w:val="00F70B2D"/>
    <w:rsid w:val="00F80BD9"/>
    <w:rsid w:val="00F83E59"/>
    <w:rsid w:val="00FA6653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FDB2A-D37E-4CB3-8929-7A28D79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6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0BA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customStyle="1" w:styleId="isselectedend">
    <w:name w:val="isselectedend"/>
    <w:basedOn w:val="Normal"/>
    <w:rsid w:val="00FE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FE60BA"/>
    <w:rPr>
      <w:b/>
      <w:bCs/>
    </w:rPr>
  </w:style>
  <w:style w:type="character" w:styleId="Emphasis">
    <w:name w:val="Emphasis"/>
    <w:basedOn w:val="DefaultParagraphFont"/>
    <w:uiPriority w:val="20"/>
    <w:qFormat/>
    <w:rsid w:val="00FE60BA"/>
    <w:rPr>
      <w:i/>
      <w:iCs/>
    </w:rPr>
  </w:style>
  <w:style w:type="character" w:customStyle="1" w:styleId="text-token-text-primary">
    <w:name w:val="text-token-text-primary"/>
    <w:basedOn w:val="DefaultParagraphFont"/>
    <w:rsid w:val="00FE60BA"/>
  </w:style>
  <w:style w:type="paragraph" w:styleId="NormalWeb">
    <w:name w:val="Normal (Web)"/>
    <w:basedOn w:val="Normal"/>
    <w:uiPriority w:val="99"/>
    <w:unhideWhenUsed/>
    <w:rsid w:val="00FE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FE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BA"/>
  </w:style>
  <w:style w:type="paragraph" w:styleId="Footer">
    <w:name w:val="footer"/>
    <w:basedOn w:val="Normal"/>
    <w:link w:val="FooterChar"/>
    <w:uiPriority w:val="99"/>
    <w:unhideWhenUsed/>
    <w:rsid w:val="00FE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BA"/>
  </w:style>
  <w:style w:type="character" w:styleId="Hyperlink">
    <w:name w:val="Hyperlink"/>
    <w:basedOn w:val="DefaultParagraphFont"/>
    <w:uiPriority w:val="99"/>
    <w:unhideWhenUsed/>
    <w:rsid w:val="00FE60B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C3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D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stvo@euresurs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ntorstvo@euresur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B51E-8CDA-41A5-B798-D75AE6F8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16</cp:revision>
  <dcterms:created xsi:type="dcterms:W3CDTF">2026-04-24T09:50:00Z</dcterms:created>
  <dcterms:modified xsi:type="dcterms:W3CDTF">2026-04-29T12:11:00Z</dcterms:modified>
</cp:coreProperties>
</file>