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EEC3E" w14:textId="77777777" w:rsidR="00F96922" w:rsidRPr="00F96922" w:rsidRDefault="00F96922" w:rsidP="00F96922">
      <w:pPr>
        <w:contextualSpacing/>
        <w:rPr>
          <w:rFonts w:asciiTheme="majorHAnsi" w:eastAsiaTheme="majorEastAsia" w:hAnsiTheme="majorHAnsi" w:cstheme="majorBidi"/>
          <w:spacing w:val="-10"/>
          <w:kern w:val="28"/>
          <w:sz w:val="56"/>
          <w:szCs w:val="56"/>
        </w:rPr>
      </w:pPr>
      <w:r w:rsidRPr="00F96922">
        <w:rPr>
          <w:rFonts w:asciiTheme="majorHAnsi" w:eastAsiaTheme="majorEastAsia" w:hAnsiTheme="majorHAnsi" w:cstheme="majorBidi"/>
          <w:spacing w:val="-10"/>
          <w:kern w:val="28"/>
          <w:sz w:val="56"/>
          <w:szCs w:val="56"/>
        </w:rPr>
        <w:t>TERMS OF REFERENCE</w:t>
      </w:r>
    </w:p>
    <w:p w14:paraId="0119BDF9" w14:textId="77777777" w:rsidR="00F96922" w:rsidRPr="00F96922" w:rsidRDefault="00F96922" w:rsidP="00F96922">
      <w:pPr>
        <w:rPr>
          <w:rFonts w:ascii="Aptos" w:hAnsi="Aptos"/>
          <w:sz w:val="18"/>
        </w:rPr>
      </w:pPr>
      <w:r w:rsidRPr="00F96922">
        <w:rPr>
          <w:rFonts w:ascii="Aptos" w:hAnsi="Aptos"/>
          <w:sz w:val="18"/>
        </w:rPr>
        <w:t>Regional Small Grants Scheme (SGS) for Civil Society and Media</w:t>
      </w:r>
    </w:p>
    <w:p w14:paraId="5399BCD1" w14:textId="77777777" w:rsidR="00F96922" w:rsidRPr="00F96922" w:rsidRDefault="00F96922" w:rsidP="00F96922">
      <w:pPr>
        <w:rPr>
          <w:rFonts w:ascii="Aptos" w:hAnsi="Aptos"/>
          <w:sz w:val="18"/>
        </w:rPr>
      </w:pPr>
      <w:r w:rsidRPr="00F96922">
        <w:rPr>
          <w:rFonts w:ascii="Aptos" w:hAnsi="Aptos"/>
          <w:sz w:val="18"/>
        </w:rPr>
        <w:t>Financial support to third parties | Western Balkans Six (WB6)</w:t>
      </w:r>
    </w:p>
    <w:p w14:paraId="4BED8314" w14:textId="77777777" w:rsidR="00F96922" w:rsidRPr="00F96922" w:rsidRDefault="00F96922" w:rsidP="00F96922">
      <w:pPr>
        <w:keepNext/>
        <w:keepLines/>
        <w:spacing w:before="160"/>
        <w:outlineLvl w:val="1"/>
        <w:rPr>
          <w:rFonts w:asciiTheme="majorHAnsi" w:eastAsiaTheme="majorEastAsia" w:hAnsiTheme="majorHAnsi" w:cstheme="majorBidi"/>
          <w:color w:val="0F4761" w:themeColor="accent1" w:themeShade="BF"/>
          <w:sz w:val="32"/>
          <w:szCs w:val="32"/>
        </w:rPr>
      </w:pPr>
      <w:r w:rsidRPr="00F96922">
        <w:rPr>
          <w:rFonts w:asciiTheme="majorHAnsi" w:eastAsiaTheme="majorEastAsia" w:hAnsiTheme="majorHAnsi" w:cstheme="majorBidi"/>
          <w:color w:val="0F4761" w:themeColor="accent1" w:themeShade="BF"/>
          <w:sz w:val="32"/>
          <w:szCs w:val="32"/>
        </w:rPr>
        <w:t>1. Background and rationale</w:t>
      </w:r>
    </w:p>
    <w:p w14:paraId="71CA83CF" w14:textId="77777777" w:rsidR="00F96922" w:rsidRPr="00F96922" w:rsidRDefault="00F96922" w:rsidP="00F96922">
      <w:pPr>
        <w:rPr>
          <w:rFonts w:ascii="Aptos" w:hAnsi="Aptos"/>
          <w:sz w:val="18"/>
        </w:rPr>
      </w:pPr>
      <w:r w:rsidRPr="00F96922">
        <w:rPr>
          <w:rFonts w:ascii="Aptos" w:hAnsi="Aptos"/>
          <w:sz w:val="18"/>
        </w:rPr>
        <w:t xml:space="preserve">Consortium of media and civil society organizations from the Western Balkan, led by </w:t>
      </w:r>
      <w:proofErr w:type="spellStart"/>
      <w:r w:rsidRPr="00F96922">
        <w:rPr>
          <w:rFonts w:ascii="Aptos" w:hAnsi="Aptos"/>
          <w:sz w:val="18"/>
        </w:rPr>
        <w:t>Center</w:t>
      </w:r>
      <w:proofErr w:type="spellEnd"/>
      <w:r w:rsidRPr="00F96922">
        <w:rPr>
          <w:rFonts w:ascii="Aptos" w:hAnsi="Aptos"/>
          <w:sz w:val="18"/>
        </w:rPr>
        <w:t xml:space="preserve"> for Investigative Reporting (CIN) in Sarajevo (</w:t>
      </w:r>
      <w:proofErr w:type="spellStart"/>
      <w:r w:rsidRPr="00F96922">
        <w:rPr>
          <w:rFonts w:ascii="Aptos" w:hAnsi="Aptos"/>
          <w:sz w:val="18"/>
        </w:rPr>
        <w:t>JaBiHEU</w:t>
      </w:r>
      <w:proofErr w:type="spellEnd"/>
      <w:r w:rsidRPr="00F96922">
        <w:rPr>
          <w:rFonts w:ascii="Aptos" w:hAnsi="Aptos"/>
          <w:sz w:val="18"/>
        </w:rPr>
        <w:t xml:space="preserve">, </w:t>
      </w:r>
      <w:proofErr w:type="spellStart"/>
      <w:r w:rsidRPr="00F96922">
        <w:rPr>
          <w:rFonts w:ascii="Aptos" w:hAnsi="Aptos"/>
          <w:sz w:val="18"/>
        </w:rPr>
        <w:t>Pistaljka</w:t>
      </w:r>
      <w:proofErr w:type="spellEnd"/>
      <w:r w:rsidRPr="00F96922">
        <w:rPr>
          <w:rFonts w:ascii="Aptos" w:hAnsi="Aptos"/>
          <w:sz w:val="18"/>
        </w:rPr>
        <w:t xml:space="preserve">, CIN CG, MANS, </w:t>
      </w:r>
      <w:proofErr w:type="spellStart"/>
      <w:r w:rsidRPr="00F96922">
        <w:rPr>
          <w:rFonts w:ascii="Aptos" w:hAnsi="Aptos"/>
          <w:sz w:val="18"/>
        </w:rPr>
        <w:t>KosovaPress</w:t>
      </w:r>
      <w:proofErr w:type="spellEnd"/>
      <w:r w:rsidRPr="00F96922">
        <w:rPr>
          <w:rFonts w:ascii="Aptos" w:hAnsi="Aptos"/>
          <w:sz w:val="18"/>
        </w:rPr>
        <w:t xml:space="preserve"> and SCOOP), implementing a regional project titled “Fostering Stability: A Synergy Between CSOs and Media for Enhanced Freedom of Expression and Media Credibility’, funded by EU, publishes the Regional Small Grants Scheme (SGS) for Civil Society and Media. </w:t>
      </w:r>
    </w:p>
    <w:p w14:paraId="012F8B79" w14:textId="77777777" w:rsidR="00F96922" w:rsidRPr="00F96922" w:rsidRDefault="00F96922" w:rsidP="00F96922">
      <w:pPr>
        <w:rPr>
          <w:rFonts w:ascii="Aptos" w:hAnsi="Aptos"/>
          <w:sz w:val="18"/>
        </w:rPr>
      </w:pPr>
      <w:r w:rsidRPr="00F96922">
        <w:rPr>
          <w:rFonts w:ascii="Aptos" w:hAnsi="Aptos"/>
          <w:sz w:val="18"/>
        </w:rPr>
        <w:t>The Small Grants Scheme provides financial assistance to eligible civil society organisations (CSOs) and media actors working on freedom of expression (</w:t>
      </w:r>
      <w:proofErr w:type="spellStart"/>
      <w:r w:rsidRPr="00F96922">
        <w:rPr>
          <w:rFonts w:ascii="Aptos" w:hAnsi="Aptos"/>
          <w:sz w:val="18"/>
        </w:rPr>
        <w:t>FoE</w:t>
      </w:r>
      <w:proofErr w:type="spellEnd"/>
      <w:r w:rsidRPr="00F96922">
        <w:rPr>
          <w:rFonts w:ascii="Aptos" w:hAnsi="Aptos"/>
          <w:sz w:val="18"/>
        </w:rPr>
        <w:t>) in Albania, Bosnia and Herzegovina, Kosovo, Montenegro, North Macedonia and Serbia. It promotes cooperation between civil society and media, participatory democracy, media pluralism and the region’s EU approximation process.</w:t>
      </w:r>
    </w:p>
    <w:p w14:paraId="18064A65" w14:textId="77777777" w:rsidR="00F96922" w:rsidRPr="00F96922" w:rsidRDefault="00F96922" w:rsidP="00F96922">
      <w:pPr>
        <w:rPr>
          <w:rFonts w:ascii="Aptos" w:hAnsi="Aptos"/>
          <w:sz w:val="18"/>
        </w:rPr>
      </w:pPr>
      <w:r w:rsidRPr="00F96922">
        <w:rPr>
          <w:rFonts w:ascii="Aptos" w:hAnsi="Aptos"/>
          <w:sz w:val="18"/>
        </w:rPr>
        <w:t>The scheme responds to the need for stronger local capacity to identify, document and communicate freedom-of-expression concerns and translate evidence into effective public advocacy. Smaller community-based actors may have limited resources for sustained monitoring, research, outreach and engagement with decision-makers. Targeted support is intended to help bridge these gaps while bringing local experiences into regional exchange and dialogue.</w:t>
      </w:r>
    </w:p>
    <w:p w14:paraId="4460C954" w14:textId="77777777" w:rsidR="00F96922" w:rsidRPr="00F96922" w:rsidRDefault="00F96922" w:rsidP="00F96922">
      <w:pPr>
        <w:keepNext/>
        <w:keepLines/>
        <w:spacing w:before="160"/>
        <w:outlineLvl w:val="1"/>
        <w:rPr>
          <w:rFonts w:asciiTheme="majorHAnsi" w:eastAsiaTheme="majorEastAsia" w:hAnsiTheme="majorHAnsi" w:cstheme="majorBidi"/>
          <w:color w:val="0F4761" w:themeColor="accent1" w:themeShade="BF"/>
          <w:sz w:val="32"/>
          <w:szCs w:val="32"/>
        </w:rPr>
      </w:pPr>
      <w:r w:rsidRPr="00F96922">
        <w:rPr>
          <w:rFonts w:asciiTheme="majorHAnsi" w:eastAsiaTheme="majorEastAsia" w:hAnsiTheme="majorHAnsi" w:cstheme="majorBidi"/>
          <w:color w:val="0F4761" w:themeColor="accent1" w:themeShade="BF"/>
          <w:sz w:val="32"/>
          <w:szCs w:val="32"/>
        </w:rPr>
        <w:t>2. Objectives, outcomes and outputs</w:t>
      </w:r>
    </w:p>
    <w:p w14:paraId="5018692E" w14:textId="77777777" w:rsidR="00F96922" w:rsidRPr="00F96922" w:rsidRDefault="00F96922" w:rsidP="00F96922">
      <w:pPr>
        <w:rPr>
          <w:rFonts w:ascii="Aptos" w:hAnsi="Aptos"/>
          <w:sz w:val="18"/>
        </w:rPr>
      </w:pPr>
      <w:r w:rsidRPr="00F96922">
        <w:rPr>
          <w:rFonts w:ascii="Aptos" w:hAnsi="Aptos"/>
          <w:sz w:val="18"/>
        </w:rPr>
        <w:t>Overall objective: Strengthen the capacity of local media and CSOs across WB6 to monitor freedom of expression and advocate for improvements in their communities.</w:t>
      </w:r>
    </w:p>
    <w:p w14:paraId="5387DAC8" w14:textId="77777777" w:rsidR="00F96922" w:rsidRPr="00F96922" w:rsidRDefault="00F96922" w:rsidP="00F96922">
      <w:pPr>
        <w:rPr>
          <w:rFonts w:ascii="Aptos" w:hAnsi="Aptos"/>
          <w:sz w:val="18"/>
        </w:rPr>
      </w:pPr>
      <w:r w:rsidRPr="00F96922">
        <w:rPr>
          <w:rFonts w:ascii="Aptos" w:hAnsi="Aptos"/>
          <w:sz w:val="18"/>
        </w:rPr>
        <w:t xml:space="preserve">Specific objectives: (i) improve the ability of local organisations to document and analyse </w:t>
      </w:r>
      <w:proofErr w:type="spellStart"/>
      <w:r w:rsidRPr="00F96922">
        <w:rPr>
          <w:rFonts w:ascii="Aptos" w:hAnsi="Aptos"/>
          <w:sz w:val="18"/>
        </w:rPr>
        <w:t>FoE</w:t>
      </w:r>
      <w:proofErr w:type="spellEnd"/>
      <w:r w:rsidRPr="00F96922">
        <w:rPr>
          <w:rFonts w:ascii="Aptos" w:hAnsi="Aptos"/>
          <w:sz w:val="18"/>
        </w:rPr>
        <w:t xml:space="preserve"> issues; (ii) support evidence-based advocacy and constructive dialogue with local stakeholders; and (iii) improve public communication of verified </w:t>
      </w:r>
      <w:proofErr w:type="spellStart"/>
      <w:r w:rsidRPr="00F96922">
        <w:rPr>
          <w:rFonts w:ascii="Aptos" w:hAnsi="Aptos"/>
          <w:sz w:val="18"/>
        </w:rPr>
        <w:t>FoE</w:t>
      </w:r>
      <w:proofErr w:type="spellEnd"/>
      <w:r w:rsidRPr="00F96922">
        <w:rPr>
          <w:rFonts w:ascii="Aptos" w:hAnsi="Aptos"/>
          <w:sz w:val="18"/>
        </w:rPr>
        <w:t xml:space="preserve"> findings, risks, rights and recommendations to relevant community audiences and decision-makers.</w:t>
      </w:r>
    </w:p>
    <w:p w14:paraId="1DE11907" w14:textId="77777777" w:rsidR="00F96922" w:rsidRPr="00F96922" w:rsidRDefault="00F96922" w:rsidP="00F96922">
      <w:pPr>
        <w:rPr>
          <w:rFonts w:ascii="Aptos" w:hAnsi="Aptos"/>
          <w:sz w:val="18"/>
        </w:rPr>
      </w:pPr>
      <w:r w:rsidRPr="00F96922">
        <w:rPr>
          <w:rFonts w:ascii="Aptos" w:hAnsi="Aptos"/>
          <w:sz w:val="18"/>
        </w:rPr>
        <w:t xml:space="preserve">Expected outcomes: stronger and more consistent local </w:t>
      </w:r>
      <w:proofErr w:type="spellStart"/>
      <w:r w:rsidRPr="00F96922">
        <w:rPr>
          <w:rFonts w:ascii="Aptos" w:hAnsi="Aptos"/>
          <w:sz w:val="18"/>
        </w:rPr>
        <w:t>FoE</w:t>
      </w:r>
      <w:proofErr w:type="spellEnd"/>
      <w:r w:rsidRPr="00F96922">
        <w:rPr>
          <w:rFonts w:ascii="Aptos" w:hAnsi="Aptos"/>
          <w:sz w:val="18"/>
        </w:rPr>
        <w:t xml:space="preserve"> monitoring; greater stakeholder awareness and engagement with identified </w:t>
      </w:r>
      <w:proofErr w:type="spellStart"/>
      <w:r w:rsidRPr="00F96922">
        <w:rPr>
          <w:rFonts w:ascii="Aptos" w:hAnsi="Aptos"/>
          <w:sz w:val="18"/>
        </w:rPr>
        <w:t>FoE</w:t>
      </w:r>
      <w:proofErr w:type="spellEnd"/>
      <w:r w:rsidRPr="00F96922">
        <w:rPr>
          <w:rFonts w:ascii="Aptos" w:hAnsi="Aptos"/>
          <w:sz w:val="18"/>
        </w:rPr>
        <w:t xml:space="preserve"> concerns; and increased capacity of supported organisations to sustain research and advocacy beyond the grant.</w:t>
      </w:r>
    </w:p>
    <w:p w14:paraId="5F89EA5F" w14:textId="77777777" w:rsidR="00F96922" w:rsidRPr="00F96922" w:rsidRDefault="00F96922" w:rsidP="00F96922">
      <w:pPr>
        <w:rPr>
          <w:rFonts w:ascii="Aptos" w:hAnsi="Aptos"/>
          <w:sz w:val="18"/>
        </w:rPr>
      </w:pPr>
      <w:r w:rsidRPr="00F96922">
        <w:rPr>
          <w:rFonts w:ascii="Aptos" w:hAnsi="Aptos"/>
          <w:sz w:val="18"/>
        </w:rPr>
        <w:t>Expected outputs: monitoring findings, research papers and policy recommendations; advocacy and awareness campaigns; verified media content and public-information materials; consultations, roundtables and policy-dialogue events; and documented outreach and stakeholder participation. Each applicant must specify deliverables, target audiences, indicators and evidence sources in its proposal.</w:t>
      </w:r>
    </w:p>
    <w:p w14:paraId="48F12DA1" w14:textId="77777777" w:rsidR="00F96922" w:rsidRPr="00F96922" w:rsidRDefault="00F96922" w:rsidP="00F96922">
      <w:pPr>
        <w:keepNext/>
        <w:keepLines/>
        <w:spacing w:before="160"/>
        <w:outlineLvl w:val="1"/>
        <w:rPr>
          <w:rFonts w:asciiTheme="majorHAnsi" w:eastAsiaTheme="majorEastAsia" w:hAnsiTheme="majorHAnsi" w:cstheme="majorBidi"/>
          <w:color w:val="0F4761" w:themeColor="accent1" w:themeShade="BF"/>
          <w:sz w:val="32"/>
          <w:szCs w:val="32"/>
        </w:rPr>
      </w:pPr>
      <w:r w:rsidRPr="00F96922">
        <w:rPr>
          <w:rFonts w:asciiTheme="majorHAnsi" w:eastAsiaTheme="majorEastAsia" w:hAnsiTheme="majorHAnsi" w:cstheme="majorBidi"/>
          <w:color w:val="0F4761" w:themeColor="accent1" w:themeShade="BF"/>
          <w:sz w:val="32"/>
          <w:szCs w:val="32"/>
        </w:rPr>
        <w:t>3. Scope, allocation and grant conditions</w:t>
      </w:r>
    </w:p>
    <w:p w14:paraId="677061A3" w14:textId="77777777" w:rsidR="00F96922" w:rsidRPr="00F96922" w:rsidRDefault="00F96922" w:rsidP="00F96922">
      <w:pPr>
        <w:numPr>
          <w:ilvl w:val="0"/>
          <w:numId w:val="5"/>
        </w:numPr>
        <w:spacing w:after="200" w:line="276" w:lineRule="auto"/>
        <w:contextualSpacing/>
        <w:jc w:val="both"/>
        <w:rPr>
          <w:rFonts w:ascii="Aptos" w:eastAsiaTheme="minorEastAsia" w:hAnsi="Aptos"/>
          <w:kern w:val="0"/>
          <w:sz w:val="20"/>
          <w:szCs w:val="22"/>
          <w:lang w:val="en-US"/>
          <w14:ligatures w14:val="none"/>
        </w:rPr>
      </w:pPr>
      <w:r w:rsidRPr="00F96922">
        <w:rPr>
          <w:rFonts w:ascii="Aptos" w:eastAsiaTheme="minorEastAsia" w:hAnsi="Aptos"/>
          <w:kern w:val="0"/>
          <w:sz w:val="20"/>
          <w:szCs w:val="22"/>
          <w:lang w:val="en-US"/>
          <w14:ligatures w14:val="none"/>
        </w:rPr>
        <w:t>Geographical coverage: WB6; activities must take place in at least one WB6 country.</w:t>
      </w:r>
    </w:p>
    <w:p w14:paraId="5D5E967C" w14:textId="77777777" w:rsidR="00F96922" w:rsidRPr="00F96922" w:rsidRDefault="00F96922" w:rsidP="00F96922">
      <w:pPr>
        <w:numPr>
          <w:ilvl w:val="0"/>
          <w:numId w:val="5"/>
        </w:numPr>
        <w:spacing w:after="200" w:line="276" w:lineRule="auto"/>
        <w:contextualSpacing/>
        <w:jc w:val="both"/>
        <w:rPr>
          <w:rFonts w:ascii="Aptos" w:eastAsiaTheme="minorEastAsia" w:hAnsi="Aptos"/>
          <w:kern w:val="0"/>
          <w:sz w:val="20"/>
          <w:szCs w:val="22"/>
          <w:lang w:val="en-US"/>
          <w14:ligatures w14:val="none"/>
        </w:rPr>
      </w:pPr>
      <w:r w:rsidRPr="00F96922">
        <w:rPr>
          <w:rFonts w:ascii="Aptos" w:eastAsiaTheme="minorEastAsia" w:hAnsi="Aptos"/>
          <w:kern w:val="0"/>
          <w:sz w:val="20"/>
          <w:szCs w:val="22"/>
          <w:lang w:val="en-US"/>
          <w14:ligatures w14:val="none"/>
        </w:rPr>
        <w:t>Total SGS allocation: EUR 450,000.</w:t>
      </w:r>
    </w:p>
    <w:p w14:paraId="10BFFEF2" w14:textId="77777777" w:rsidR="00F96922" w:rsidRPr="00F96922" w:rsidRDefault="00F96922" w:rsidP="00F96922">
      <w:pPr>
        <w:numPr>
          <w:ilvl w:val="0"/>
          <w:numId w:val="5"/>
        </w:numPr>
        <w:spacing w:after="200" w:line="276" w:lineRule="auto"/>
        <w:contextualSpacing/>
        <w:jc w:val="both"/>
        <w:rPr>
          <w:rFonts w:ascii="Aptos" w:eastAsiaTheme="minorEastAsia" w:hAnsi="Aptos"/>
          <w:kern w:val="0"/>
          <w:sz w:val="20"/>
          <w:szCs w:val="22"/>
          <w:lang w:val="en-US"/>
          <w14:ligatures w14:val="none"/>
        </w:rPr>
      </w:pPr>
      <w:r w:rsidRPr="00F96922">
        <w:rPr>
          <w:rFonts w:ascii="Aptos" w:eastAsiaTheme="minorEastAsia" w:hAnsi="Aptos"/>
          <w:kern w:val="0"/>
          <w:sz w:val="20"/>
          <w:szCs w:val="22"/>
          <w:lang w:val="en-US"/>
          <w14:ligatures w14:val="none"/>
        </w:rPr>
        <w:t>Grant amount: EUR 10,000–20,000 per award; no co-financing required.</w:t>
      </w:r>
    </w:p>
    <w:p w14:paraId="30A452F8" w14:textId="77777777" w:rsidR="00F96922" w:rsidRPr="00F96922" w:rsidRDefault="00F96922" w:rsidP="00F96922">
      <w:pPr>
        <w:numPr>
          <w:ilvl w:val="0"/>
          <w:numId w:val="5"/>
        </w:numPr>
        <w:spacing w:after="200" w:line="276" w:lineRule="auto"/>
        <w:contextualSpacing/>
        <w:jc w:val="both"/>
        <w:rPr>
          <w:rFonts w:ascii="Aptos" w:eastAsiaTheme="minorEastAsia" w:hAnsi="Aptos"/>
          <w:kern w:val="0"/>
          <w:sz w:val="20"/>
          <w:szCs w:val="22"/>
          <w:lang w:val="en-US"/>
          <w14:ligatures w14:val="none"/>
        </w:rPr>
      </w:pPr>
      <w:r w:rsidRPr="00F96922">
        <w:rPr>
          <w:rFonts w:ascii="Aptos" w:eastAsiaTheme="minorEastAsia" w:hAnsi="Aptos"/>
          <w:kern w:val="0"/>
          <w:sz w:val="20"/>
          <w:szCs w:val="22"/>
          <w:lang w:val="en-US"/>
          <w14:ligatures w14:val="none"/>
        </w:rPr>
        <w:t>Indicative allocation: five grants per WB6 country, subject to quality of applications and available funds.</w:t>
      </w:r>
    </w:p>
    <w:p w14:paraId="2B0FD1C1" w14:textId="77777777" w:rsidR="00F96922" w:rsidRPr="00F96922" w:rsidRDefault="00F96922" w:rsidP="00F96922">
      <w:pPr>
        <w:numPr>
          <w:ilvl w:val="0"/>
          <w:numId w:val="5"/>
        </w:numPr>
        <w:spacing w:after="200" w:line="276" w:lineRule="auto"/>
        <w:contextualSpacing/>
        <w:jc w:val="both"/>
        <w:rPr>
          <w:rFonts w:ascii="Aptos" w:eastAsiaTheme="minorEastAsia" w:hAnsi="Aptos"/>
          <w:kern w:val="0"/>
          <w:sz w:val="20"/>
          <w:szCs w:val="22"/>
          <w:lang w:val="en-US"/>
          <w14:ligatures w14:val="none"/>
        </w:rPr>
      </w:pPr>
      <w:r w:rsidRPr="00F96922">
        <w:rPr>
          <w:rFonts w:ascii="Aptos" w:eastAsiaTheme="minorEastAsia" w:hAnsi="Aptos"/>
          <w:kern w:val="0"/>
          <w:sz w:val="20"/>
          <w:szCs w:val="22"/>
          <w:lang w:val="en-US"/>
          <w14:ligatures w14:val="none"/>
        </w:rPr>
        <w:t xml:space="preserve">Maximum implementation period: 10 months under this working </w:t>
      </w:r>
      <w:proofErr w:type="spellStart"/>
      <w:r w:rsidRPr="00F96922">
        <w:rPr>
          <w:rFonts w:ascii="Aptos" w:eastAsiaTheme="minorEastAsia" w:hAnsi="Aptos"/>
          <w:kern w:val="0"/>
          <w:sz w:val="20"/>
          <w:szCs w:val="22"/>
          <w:lang w:val="en-US"/>
          <w14:ligatures w14:val="none"/>
        </w:rPr>
        <w:t>ToR</w:t>
      </w:r>
      <w:proofErr w:type="spellEnd"/>
      <w:r w:rsidRPr="00F96922">
        <w:rPr>
          <w:rFonts w:ascii="Aptos" w:eastAsiaTheme="minorEastAsia" w:hAnsi="Aptos"/>
          <w:kern w:val="0"/>
          <w:sz w:val="20"/>
          <w:szCs w:val="22"/>
          <w:lang w:val="en-US"/>
          <w14:ligatures w14:val="none"/>
        </w:rPr>
        <w:t>.</w:t>
      </w:r>
    </w:p>
    <w:p w14:paraId="18EEB4E7" w14:textId="77777777" w:rsidR="00F96922" w:rsidRPr="00F96922" w:rsidRDefault="00F96922" w:rsidP="00F96922">
      <w:pPr>
        <w:numPr>
          <w:ilvl w:val="0"/>
          <w:numId w:val="5"/>
        </w:numPr>
        <w:spacing w:after="200" w:line="276" w:lineRule="auto"/>
        <w:contextualSpacing/>
        <w:jc w:val="both"/>
        <w:rPr>
          <w:rFonts w:ascii="Aptos" w:eastAsiaTheme="minorEastAsia" w:hAnsi="Aptos"/>
          <w:kern w:val="0"/>
          <w:sz w:val="20"/>
          <w:szCs w:val="22"/>
          <w:lang w:val="en-US"/>
          <w14:ligatures w14:val="none"/>
        </w:rPr>
      </w:pPr>
      <w:r w:rsidRPr="00F96922">
        <w:rPr>
          <w:rFonts w:ascii="Aptos" w:eastAsiaTheme="minorEastAsia" w:hAnsi="Aptos"/>
          <w:kern w:val="0"/>
          <w:sz w:val="20"/>
          <w:szCs w:val="22"/>
          <w:lang w:val="en-US"/>
          <w14:ligatures w14:val="none"/>
        </w:rPr>
        <w:t>Final awards depend on eligible, justified costs and the relationship between costs and expected results.</w:t>
      </w:r>
    </w:p>
    <w:p w14:paraId="189EC8F4" w14:textId="77777777" w:rsidR="00F96922" w:rsidRPr="00F96922" w:rsidRDefault="00F96922" w:rsidP="00F96922">
      <w:pPr>
        <w:keepNext/>
        <w:keepLines/>
        <w:spacing w:before="160"/>
        <w:outlineLvl w:val="1"/>
        <w:rPr>
          <w:rFonts w:asciiTheme="majorHAnsi" w:eastAsiaTheme="majorEastAsia" w:hAnsiTheme="majorHAnsi" w:cstheme="majorBidi"/>
          <w:color w:val="0F4761" w:themeColor="accent1" w:themeShade="BF"/>
          <w:sz w:val="32"/>
          <w:szCs w:val="32"/>
        </w:rPr>
      </w:pPr>
      <w:r w:rsidRPr="00F96922">
        <w:rPr>
          <w:rFonts w:asciiTheme="majorHAnsi" w:eastAsiaTheme="majorEastAsia" w:hAnsiTheme="majorHAnsi" w:cstheme="majorBidi"/>
          <w:color w:val="0F4761" w:themeColor="accent1" w:themeShade="BF"/>
          <w:sz w:val="32"/>
          <w:szCs w:val="32"/>
        </w:rPr>
        <w:t>4. Eligibility of applicants and partnerships</w:t>
      </w:r>
    </w:p>
    <w:p w14:paraId="1E8FF39D" w14:textId="77777777" w:rsidR="00F96922" w:rsidRPr="00F96922" w:rsidRDefault="00F96922" w:rsidP="00F96922">
      <w:pPr>
        <w:rPr>
          <w:rFonts w:ascii="Aptos" w:hAnsi="Aptos"/>
          <w:sz w:val="18"/>
        </w:rPr>
      </w:pPr>
      <w:r w:rsidRPr="00F96922">
        <w:rPr>
          <w:rFonts w:ascii="Aptos" w:hAnsi="Aptos"/>
          <w:sz w:val="18"/>
        </w:rPr>
        <w:t xml:space="preserve">The lead applicant must be a legally registered, non-profit-making CSO or eligible non-profit media organisation established in a WB6 country; demonstrate relevant experience in </w:t>
      </w:r>
      <w:proofErr w:type="spellStart"/>
      <w:r w:rsidRPr="00F96922">
        <w:rPr>
          <w:rFonts w:ascii="Aptos" w:hAnsi="Aptos"/>
          <w:sz w:val="18"/>
        </w:rPr>
        <w:t>FoE</w:t>
      </w:r>
      <w:proofErr w:type="spellEnd"/>
      <w:r w:rsidRPr="00F96922">
        <w:rPr>
          <w:rFonts w:ascii="Aptos" w:hAnsi="Aptos"/>
          <w:sz w:val="18"/>
        </w:rPr>
        <w:t xml:space="preserve"> and/or advocacy; and be directly responsible for preparation, implementation and financial management. Registration and legal status must be supported by official documentation.</w:t>
      </w:r>
    </w:p>
    <w:p w14:paraId="13817FA4" w14:textId="77777777" w:rsidR="00F96922" w:rsidRPr="00F96922" w:rsidRDefault="00F96922" w:rsidP="00F96922">
      <w:pPr>
        <w:rPr>
          <w:rFonts w:ascii="Aptos" w:hAnsi="Aptos"/>
          <w:sz w:val="18"/>
        </w:rPr>
      </w:pPr>
      <w:r w:rsidRPr="00F96922">
        <w:rPr>
          <w:rFonts w:ascii="Aptos" w:hAnsi="Aptos"/>
          <w:sz w:val="18"/>
        </w:rPr>
        <w:t xml:space="preserve">Eligible media-related applicants may include registered non-profit online and community media, radio and television organisations, print or digital news outlets, journalists’ associations and other non-profit journalistic entities, provided they meet the legal-person, non-profit and experience conditions. Individual freelance journalists and for-profit media outlets are not eligible as lead applicants under the stated conditions; they may participate as service providers or collaborators to proposals submitted by eligible applicants. </w:t>
      </w:r>
    </w:p>
    <w:p w14:paraId="6A0A737E" w14:textId="77777777" w:rsidR="00F96922" w:rsidRPr="00F96922" w:rsidRDefault="00F96922" w:rsidP="00F96922">
      <w:pPr>
        <w:rPr>
          <w:rFonts w:ascii="Aptos" w:hAnsi="Aptos"/>
          <w:sz w:val="18"/>
        </w:rPr>
      </w:pPr>
      <w:r w:rsidRPr="00F96922">
        <w:rPr>
          <w:rFonts w:ascii="Aptos" w:hAnsi="Aptos"/>
          <w:sz w:val="18"/>
        </w:rPr>
        <w:lastRenderedPageBreak/>
        <w:t>Applicants must be established in one of the WB6 country; implementation in another WB6 country is permitted where lawful and operationally feasible. Relevant experience may be evidenced through previous projects, publications, monitoring reports, campaigns, advocacy records and the qualifications of key staff.</w:t>
      </w:r>
    </w:p>
    <w:p w14:paraId="2DFD9C77" w14:textId="77777777" w:rsidR="00F96922" w:rsidRPr="00F96922" w:rsidRDefault="00F96922" w:rsidP="00F96922">
      <w:pPr>
        <w:rPr>
          <w:rFonts w:ascii="Aptos" w:hAnsi="Aptos"/>
          <w:sz w:val="18"/>
        </w:rPr>
      </w:pPr>
      <w:r w:rsidRPr="00F96922">
        <w:rPr>
          <w:rFonts w:ascii="Aptos" w:hAnsi="Aptos"/>
          <w:sz w:val="18"/>
        </w:rPr>
        <w:t xml:space="preserve">Co-applicants are optional and must meet the same eligibility conditions. The lead applicant remains the contracting party and accountable for overall implementation, reporting and grant funds; co-applicants must have clearly defined tasks, budgets and reporting responsibilities. Applicants can submit only one proposal; co-applicants and/or affiliates can participate in more than one proposal. However, only one project can be awarded. </w:t>
      </w:r>
    </w:p>
    <w:p w14:paraId="75684616" w14:textId="77777777" w:rsidR="00F96922" w:rsidRPr="00F96922" w:rsidRDefault="00F96922" w:rsidP="00F96922">
      <w:pPr>
        <w:rPr>
          <w:rFonts w:ascii="Aptos" w:hAnsi="Aptos"/>
          <w:sz w:val="18"/>
        </w:rPr>
      </w:pPr>
      <w:r w:rsidRPr="00F96922">
        <w:rPr>
          <w:rFonts w:ascii="Aptos" w:hAnsi="Aptos"/>
          <w:sz w:val="18"/>
        </w:rPr>
        <w:t xml:space="preserve">Applicants and partners must declare actual or potential conflicts of interest, other funding for the same costs and any applicable exclusion circumstances. Double financing of the same expenditure is prohibited. Sanctions, integrity checks and grounds for exclusion will follow the governing grant agreement and applicable programme rules. </w:t>
      </w:r>
    </w:p>
    <w:p w14:paraId="3C55B76C" w14:textId="77777777" w:rsidR="00F96922" w:rsidRPr="00F96922" w:rsidRDefault="00F96922" w:rsidP="00F96922">
      <w:pPr>
        <w:keepNext/>
        <w:keepLines/>
        <w:spacing w:before="160"/>
        <w:outlineLvl w:val="1"/>
        <w:rPr>
          <w:rFonts w:asciiTheme="majorHAnsi" w:eastAsiaTheme="majorEastAsia" w:hAnsiTheme="majorHAnsi" w:cstheme="majorBidi"/>
          <w:color w:val="0F4761" w:themeColor="accent1" w:themeShade="BF"/>
          <w:sz w:val="32"/>
          <w:szCs w:val="32"/>
        </w:rPr>
      </w:pPr>
      <w:r w:rsidRPr="00F96922">
        <w:rPr>
          <w:rFonts w:asciiTheme="majorHAnsi" w:eastAsiaTheme="majorEastAsia" w:hAnsiTheme="majorHAnsi" w:cstheme="majorBidi"/>
          <w:color w:val="0F4761" w:themeColor="accent1" w:themeShade="BF"/>
          <w:sz w:val="32"/>
          <w:szCs w:val="32"/>
        </w:rPr>
        <w:t>5. Eligible actions and implementation obligations</w:t>
      </w:r>
    </w:p>
    <w:p w14:paraId="3F6A86C5" w14:textId="77777777" w:rsidR="00F96922" w:rsidRPr="00F96922" w:rsidRDefault="00F96922" w:rsidP="00F96922">
      <w:pPr>
        <w:rPr>
          <w:rFonts w:ascii="Aptos" w:hAnsi="Aptos"/>
          <w:sz w:val="18"/>
        </w:rPr>
      </w:pPr>
      <w:r w:rsidRPr="00F96922">
        <w:rPr>
          <w:rFonts w:ascii="Aptos" w:hAnsi="Aptos"/>
          <w:sz w:val="18"/>
        </w:rPr>
        <w:t>The following types of actions are eligible:</w:t>
      </w:r>
    </w:p>
    <w:p w14:paraId="74C119EA" w14:textId="77777777" w:rsidR="00F96922" w:rsidRPr="00F96922" w:rsidRDefault="00F96922" w:rsidP="00F96922">
      <w:pPr>
        <w:numPr>
          <w:ilvl w:val="0"/>
          <w:numId w:val="6"/>
        </w:numPr>
        <w:spacing w:after="200" w:line="276" w:lineRule="auto"/>
        <w:contextualSpacing/>
        <w:rPr>
          <w:rFonts w:ascii="Aptos" w:eastAsiaTheme="minorEastAsia" w:hAnsi="Aptos"/>
          <w:kern w:val="0"/>
          <w:sz w:val="20"/>
          <w:szCs w:val="22"/>
          <w:lang w:val="en-US"/>
          <w14:ligatures w14:val="none"/>
        </w:rPr>
      </w:pPr>
      <w:r w:rsidRPr="00F96922">
        <w:rPr>
          <w:rFonts w:ascii="Aptos" w:eastAsiaTheme="minorEastAsia" w:hAnsi="Aptos"/>
          <w:kern w:val="0"/>
          <w:sz w:val="20"/>
          <w:szCs w:val="22"/>
          <w:lang w:val="en-US"/>
          <w14:ligatures w14:val="none"/>
        </w:rPr>
        <w:t>Advocacy and awareness-raising campaigns.</w:t>
      </w:r>
    </w:p>
    <w:p w14:paraId="2F0C2ADB" w14:textId="77777777" w:rsidR="00F96922" w:rsidRPr="00F96922" w:rsidRDefault="00F96922" w:rsidP="00F96922">
      <w:pPr>
        <w:numPr>
          <w:ilvl w:val="0"/>
          <w:numId w:val="6"/>
        </w:numPr>
        <w:spacing w:after="200" w:line="276" w:lineRule="auto"/>
        <w:contextualSpacing/>
        <w:rPr>
          <w:rFonts w:ascii="Aptos" w:eastAsiaTheme="minorEastAsia" w:hAnsi="Aptos"/>
          <w:kern w:val="0"/>
          <w:sz w:val="20"/>
          <w:szCs w:val="22"/>
          <w:lang w:val="en-US"/>
          <w14:ligatures w14:val="none"/>
        </w:rPr>
      </w:pPr>
      <w:r w:rsidRPr="00F96922">
        <w:rPr>
          <w:rFonts w:ascii="Aptos" w:eastAsiaTheme="minorEastAsia" w:hAnsi="Aptos"/>
          <w:kern w:val="0"/>
          <w:sz w:val="20"/>
          <w:szCs w:val="22"/>
          <w:lang w:val="en-US"/>
          <w14:ligatures w14:val="none"/>
        </w:rPr>
        <w:t>Policy research and recommendations.</w:t>
      </w:r>
    </w:p>
    <w:p w14:paraId="00D4EF5A" w14:textId="77777777" w:rsidR="00F96922" w:rsidRPr="00F96922" w:rsidRDefault="00F96922" w:rsidP="00F96922">
      <w:pPr>
        <w:numPr>
          <w:ilvl w:val="0"/>
          <w:numId w:val="6"/>
        </w:numPr>
        <w:spacing w:after="200" w:line="276" w:lineRule="auto"/>
        <w:contextualSpacing/>
        <w:rPr>
          <w:rFonts w:ascii="Aptos" w:eastAsiaTheme="minorEastAsia" w:hAnsi="Aptos"/>
          <w:kern w:val="0"/>
          <w:sz w:val="20"/>
          <w:szCs w:val="22"/>
          <w:lang w:val="en-US"/>
          <w14:ligatures w14:val="none"/>
        </w:rPr>
      </w:pPr>
      <w:r w:rsidRPr="00F96922">
        <w:rPr>
          <w:rFonts w:ascii="Aptos" w:eastAsiaTheme="minorEastAsia" w:hAnsi="Aptos"/>
          <w:kern w:val="0"/>
          <w:sz w:val="20"/>
          <w:szCs w:val="22"/>
          <w:lang w:val="en-US"/>
          <w14:ligatures w14:val="none"/>
        </w:rPr>
        <w:t xml:space="preserve">Production of media content related to media freedom, </w:t>
      </w:r>
      <w:proofErr w:type="spellStart"/>
      <w:r w:rsidRPr="00F96922">
        <w:rPr>
          <w:rFonts w:ascii="Aptos" w:eastAsiaTheme="minorEastAsia" w:hAnsi="Aptos"/>
          <w:kern w:val="0"/>
          <w:sz w:val="20"/>
          <w:szCs w:val="22"/>
          <w:lang w:val="en-US"/>
          <w14:ligatures w14:val="none"/>
        </w:rPr>
        <w:t>FoE</w:t>
      </w:r>
      <w:proofErr w:type="spellEnd"/>
      <w:r w:rsidRPr="00F96922">
        <w:rPr>
          <w:rFonts w:ascii="Aptos" w:eastAsiaTheme="minorEastAsia" w:hAnsi="Aptos"/>
          <w:kern w:val="0"/>
          <w:sz w:val="20"/>
          <w:szCs w:val="22"/>
          <w:lang w:val="en-US"/>
          <w14:ligatures w14:val="none"/>
        </w:rPr>
        <w:t xml:space="preserve"> and professional journalism.</w:t>
      </w:r>
    </w:p>
    <w:p w14:paraId="03EEF05E" w14:textId="77777777" w:rsidR="00F96922" w:rsidRPr="00F96922" w:rsidRDefault="00F96922" w:rsidP="00F96922">
      <w:pPr>
        <w:numPr>
          <w:ilvl w:val="0"/>
          <w:numId w:val="6"/>
        </w:numPr>
        <w:spacing w:after="200" w:line="276" w:lineRule="auto"/>
        <w:contextualSpacing/>
        <w:rPr>
          <w:rFonts w:ascii="Aptos" w:eastAsiaTheme="minorEastAsia" w:hAnsi="Aptos"/>
          <w:kern w:val="0"/>
          <w:sz w:val="20"/>
          <w:szCs w:val="22"/>
          <w:lang w:val="en-US"/>
          <w14:ligatures w14:val="none"/>
        </w:rPr>
      </w:pPr>
      <w:r w:rsidRPr="00F96922">
        <w:rPr>
          <w:rFonts w:ascii="Aptos" w:eastAsiaTheme="minorEastAsia" w:hAnsi="Aptos"/>
          <w:kern w:val="0"/>
          <w:sz w:val="20"/>
          <w:szCs w:val="22"/>
          <w:lang w:val="en-US"/>
          <w14:ligatures w14:val="none"/>
        </w:rPr>
        <w:t xml:space="preserve">Campaigns advocating </w:t>
      </w:r>
      <w:proofErr w:type="spellStart"/>
      <w:r w:rsidRPr="00F96922">
        <w:rPr>
          <w:rFonts w:ascii="Aptos" w:eastAsiaTheme="minorEastAsia" w:hAnsi="Aptos"/>
          <w:kern w:val="0"/>
          <w:sz w:val="20"/>
          <w:szCs w:val="22"/>
          <w:lang w:val="en-US"/>
          <w14:ligatures w14:val="none"/>
        </w:rPr>
        <w:t>FoE</w:t>
      </w:r>
      <w:proofErr w:type="spellEnd"/>
      <w:r w:rsidRPr="00F96922">
        <w:rPr>
          <w:rFonts w:ascii="Aptos" w:eastAsiaTheme="minorEastAsia" w:hAnsi="Aptos"/>
          <w:kern w:val="0"/>
          <w:sz w:val="20"/>
          <w:szCs w:val="22"/>
          <w:lang w:val="en-US"/>
          <w14:ligatures w14:val="none"/>
        </w:rPr>
        <w:t>.</w:t>
      </w:r>
    </w:p>
    <w:p w14:paraId="0088011F" w14:textId="77777777" w:rsidR="00F96922" w:rsidRPr="00F96922" w:rsidRDefault="00F96922" w:rsidP="00F96922">
      <w:pPr>
        <w:numPr>
          <w:ilvl w:val="0"/>
          <w:numId w:val="6"/>
        </w:numPr>
        <w:spacing w:after="200" w:line="276" w:lineRule="auto"/>
        <w:contextualSpacing/>
        <w:rPr>
          <w:rFonts w:ascii="Aptos" w:eastAsiaTheme="minorEastAsia" w:hAnsi="Aptos"/>
          <w:kern w:val="0"/>
          <w:sz w:val="20"/>
          <w:szCs w:val="22"/>
          <w:lang w:val="en-US"/>
          <w14:ligatures w14:val="none"/>
        </w:rPr>
      </w:pPr>
      <w:r w:rsidRPr="00F96922">
        <w:rPr>
          <w:rFonts w:ascii="Aptos" w:eastAsiaTheme="minorEastAsia" w:hAnsi="Aptos"/>
          <w:kern w:val="0"/>
          <w:sz w:val="20"/>
          <w:szCs w:val="22"/>
          <w:lang w:val="en-US"/>
          <w14:ligatures w14:val="none"/>
        </w:rPr>
        <w:t>Consultations, roundtables and meetings with local stakeholders.</w:t>
      </w:r>
    </w:p>
    <w:p w14:paraId="7C9FBF5C" w14:textId="77777777" w:rsidR="00F96922" w:rsidRPr="00F96922" w:rsidRDefault="00F96922" w:rsidP="00F96922">
      <w:pPr>
        <w:numPr>
          <w:ilvl w:val="0"/>
          <w:numId w:val="6"/>
        </w:numPr>
        <w:spacing w:after="200" w:line="276" w:lineRule="auto"/>
        <w:contextualSpacing/>
        <w:rPr>
          <w:rFonts w:ascii="Aptos" w:eastAsiaTheme="minorEastAsia" w:hAnsi="Aptos"/>
          <w:kern w:val="0"/>
          <w:sz w:val="20"/>
          <w:szCs w:val="22"/>
          <w:lang w:val="en-US"/>
          <w14:ligatures w14:val="none"/>
        </w:rPr>
      </w:pPr>
      <w:r w:rsidRPr="00F96922">
        <w:rPr>
          <w:rFonts w:ascii="Aptos" w:eastAsiaTheme="minorEastAsia" w:hAnsi="Aptos"/>
          <w:kern w:val="0"/>
          <w:sz w:val="20"/>
          <w:szCs w:val="22"/>
          <w:lang w:val="en-US"/>
          <w14:ligatures w14:val="none"/>
        </w:rPr>
        <w:t>Policy dialogue with stakeholders, including public officials, experts, media and other relevant actors.</w:t>
      </w:r>
    </w:p>
    <w:p w14:paraId="177D16BA" w14:textId="77777777" w:rsidR="00F96922" w:rsidRPr="00F96922" w:rsidRDefault="00F96922" w:rsidP="00F96922">
      <w:pPr>
        <w:rPr>
          <w:rFonts w:ascii="Aptos" w:hAnsi="Aptos"/>
          <w:sz w:val="18"/>
        </w:rPr>
      </w:pPr>
      <w:r w:rsidRPr="00F96922">
        <w:rPr>
          <w:rFonts w:ascii="Aptos" w:hAnsi="Aptos"/>
          <w:sz w:val="18"/>
        </w:rPr>
        <w:t>Training, evidence gathering, research, outreach, translation, dissemination and similar cross-cutting activities may be included when directly necessary for an eligible action and proportionate to its objectives; they do not expand the fixed list of eligible action types. Activities must have an implementation plan, staffing, budget, monitoring indicators and EU visibility measures.</w:t>
      </w:r>
    </w:p>
    <w:p w14:paraId="34DD9325" w14:textId="77777777" w:rsidR="00F96922" w:rsidRPr="00F96922" w:rsidRDefault="00F96922" w:rsidP="00F96922">
      <w:pPr>
        <w:rPr>
          <w:rFonts w:ascii="Aptos" w:hAnsi="Aptos"/>
          <w:sz w:val="18"/>
        </w:rPr>
      </w:pPr>
      <w:r w:rsidRPr="00F96922">
        <w:rPr>
          <w:rFonts w:ascii="Aptos" w:hAnsi="Aptos"/>
          <w:sz w:val="18"/>
        </w:rPr>
        <w:t>The following types of action are ineligible:</w:t>
      </w:r>
    </w:p>
    <w:p w14:paraId="3362C769" w14:textId="77777777" w:rsidR="00F96922" w:rsidRPr="00F96922" w:rsidRDefault="00F96922" w:rsidP="00F96922">
      <w:pPr>
        <w:numPr>
          <w:ilvl w:val="0"/>
          <w:numId w:val="4"/>
        </w:numPr>
        <w:contextualSpacing/>
        <w:rPr>
          <w:rFonts w:ascii="Aptos" w:hAnsi="Aptos"/>
          <w:sz w:val="18"/>
        </w:rPr>
      </w:pPr>
      <w:r w:rsidRPr="00F96922">
        <w:rPr>
          <w:rFonts w:ascii="Aptos" w:hAnsi="Aptos"/>
          <w:sz w:val="18"/>
        </w:rPr>
        <w:t>actions concerned only or mainly with individual sponsorships for participation in workshops, seminars, conferences and congresses;</w:t>
      </w:r>
    </w:p>
    <w:p w14:paraId="6F88E03B" w14:textId="77777777" w:rsidR="00F96922" w:rsidRPr="00F96922" w:rsidRDefault="00F96922" w:rsidP="00F96922">
      <w:pPr>
        <w:numPr>
          <w:ilvl w:val="0"/>
          <w:numId w:val="4"/>
        </w:numPr>
        <w:contextualSpacing/>
        <w:rPr>
          <w:rFonts w:ascii="Aptos" w:hAnsi="Aptos"/>
          <w:sz w:val="18"/>
        </w:rPr>
      </w:pPr>
      <w:r w:rsidRPr="00F96922">
        <w:rPr>
          <w:rFonts w:ascii="Aptos" w:hAnsi="Aptos"/>
          <w:sz w:val="18"/>
        </w:rPr>
        <w:t>actions concerned only or mainly with individual scholarships for studies or training courses;</w:t>
      </w:r>
    </w:p>
    <w:p w14:paraId="710F3682" w14:textId="77777777" w:rsidR="00F96922" w:rsidRPr="00F96922" w:rsidRDefault="00F96922" w:rsidP="00F96922">
      <w:pPr>
        <w:numPr>
          <w:ilvl w:val="0"/>
          <w:numId w:val="4"/>
        </w:numPr>
        <w:contextualSpacing/>
        <w:rPr>
          <w:rFonts w:ascii="Aptos" w:hAnsi="Aptos"/>
          <w:sz w:val="18"/>
        </w:rPr>
      </w:pPr>
      <w:r w:rsidRPr="00F96922">
        <w:rPr>
          <w:rFonts w:ascii="Aptos" w:hAnsi="Aptos"/>
          <w:sz w:val="18"/>
        </w:rPr>
        <w:t>actions and measures that may result in violation of human rights in partner countries or causing significant adverse effects on the environment or the climate;</w:t>
      </w:r>
    </w:p>
    <w:p w14:paraId="6FAB1BD3" w14:textId="77777777" w:rsidR="00F96922" w:rsidRPr="00F96922" w:rsidRDefault="00F96922" w:rsidP="00F96922">
      <w:pPr>
        <w:numPr>
          <w:ilvl w:val="0"/>
          <w:numId w:val="4"/>
        </w:numPr>
        <w:contextualSpacing/>
        <w:rPr>
          <w:rFonts w:ascii="Aptos" w:hAnsi="Aptos"/>
          <w:sz w:val="18"/>
        </w:rPr>
      </w:pPr>
      <w:r w:rsidRPr="00F96922">
        <w:rPr>
          <w:rFonts w:ascii="Aptos" w:hAnsi="Aptos"/>
          <w:sz w:val="18"/>
        </w:rPr>
        <w:t>actions aiming predominantly at charitable donations and profit-making activities;</w:t>
      </w:r>
    </w:p>
    <w:p w14:paraId="12575E93" w14:textId="77777777" w:rsidR="00F96922" w:rsidRPr="00F96922" w:rsidRDefault="00F96922" w:rsidP="00F96922">
      <w:pPr>
        <w:numPr>
          <w:ilvl w:val="0"/>
          <w:numId w:val="4"/>
        </w:numPr>
        <w:contextualSpacing/>
        <w:rPr>
          <w:rFonts w:ascii="Aptos" w:hAnsi="Aptos"/>
          <w:sz w:val="18"/>
        </w:rPr>
      </w:pPr>
      <w:r w:rsidRPr="00F96922">
        <w:rPr>
          <w:rFonts w:ascii="Aptos" w:hAnsi="Aptos"/>
          <w:sz w:val="18"/>
        </w:rPr>
        <w:t>actions which are already funded by other Community programmes and undertaken before the date of contract signature.</w:t>
      </w:r>
    </w:p>
    <w:p w14:paraId="3CD3D6B0" w14:textId="77777777" w:rsidR="00F96922" w:rsidRPr="00F96922" w:rsidRDefault="00F96922" w:rsidP="00F96922">
      <w:pPr>
        <w:keepNext/>
        <w:keepLines/>
        <w:spacing w:before="160"/>
        <w:outlineLvl w:val="1"/>
        <w:rPr>
          <w:rFonts w:asciiTheme="majorHAnsi" w:eastAsiaTheme="majorEastAsia" w:hAnsiTheme="majorHAnsi" w:cstheme="majorBidi"/>
          <w:color w:val="0F4761" w:themeColor="accent1" w:themeShade="BF"/>
          <w:sz w:val="32"/>
          <w:szCs w:val="32"/>
        </w:rPr>
      </w:pPr>
      <w:r w:rsidRPr="00F96922">
        <w:rPr>
          <w:rFonts w:asciiTheme="majorHAnsi" w:eastAsiaTheme="majorEastAsia" w:hAnsiTheme="majorHAnsi" w:cstheme="majorBidi"/>
          <w:color w:val="0F4761" w:themeColor="accent1" w:themeShade="BF"/>
          <w:sz w:val="32"/>
          <w:szCs w:val="32"/>
        </w:rPr>
        <w:t>6. Call publication and application process</w:t>
      </w:r>
    </w:p>
    <w:p w14:paraId="25DFFB00" w14:textId="77777777" w:rsidR="00F96922" w:rsidRPr="00F96922" w:rsidRDefault="00F96922" w:rsidP="00F96922">
      <w:pPr>
        <w:rPr>
          <w:rFonts w:ascii="Aptos" w:hAnsi="Aptos"/>
          <w:sz w:val="18"/>
        </w:rPr>
      </w:pPr>
      <w:r w:rsidRPr="00F96922">
        <w:rPr>
          <w:rFonts w:ascii="Aptos" w:hAnsi="Aptos"/>
          <w:sz w:val="18"/>
        </w:rPr>
        <w:t>The open call will be announced through the project platform, partner websites, CSO networks and project social media. Applications will be submitted electronically. Forms will be made available in English and relevant local languages, with requirements proportionate to local organisational capacity.</w:t>
      </w:r>
    </w:p>
    <w:p w14:paraId="1CACF968" w14:textId="77777777" w:rsidR="00F96922" w:rsidRPr="00F96922" w:rsidRDefault="00F96922" w:rsidP="00F96922">
      <w:pPr>
        <w:rPr>
          <w:rFonts w:ascii="Aptos" w:hAnsi="Aptos"/>
          <w:sz w:val="18"/>
        </w:rPr>
      </w:pPr>
      <w:r w:rsidRPr="00F96922">
        <w:rPr>
          <w:rFonts w:ascii="Aptos" w:hAnsi="Aptos"/>
          <w:sz w:val="18"/>
        </w:rPr>
        <w:t>Opening date: October 16, 2026</w:t>
      </w:r>
    </w:p>
    <w:p w14:paraId="32E8CC6B" w14:textId="77777777" w:rsidR="00F96922" w:rsidRPr="00D143F0" w:rsidRDefault="00F96922" w:rsidP="00F96922">
      <w:pPr>
        <w:rPr>
          <w:rFonts w:ascii="Aptos" w:hAnsi="Aptos"/>
          <w:sz w:val="18"/>
        </w:rPr>
      </w:pPr>
      <w:r w:rsidRPr="00D143F0">
        <w:rPr>
          <w:rFonts w:ascii="Aptos" w:hAnsi="Aptos"/>
          <w:sz w:val="18"/>
        </w:rPr>
        <w:t>Closing date: November 6, 2026, by midnight</w:t>
      </w:r>
    </w:p>
    <w:p w14:paraId="12A0194A" w14:textId="35CD0FEC" w:rsidR="0031758C" w:rsidRPr="00D143F0" w:rsidRDefault="0031758C" w:rsidP="00D143F0">
      <w:pPr>
        <w:rPr>
          <w:rFonts w:ascii="Aptos" w:hAnsi="Aptos"/>
          <w:sz w:val="18"/>
          <w:lang w:val="en-US"/>
        </w:rPr>
      </w:pPr>
      <w:r w:rsidRPr="00D143F0">
        <w:rPr>
          <w:rFonts w:ascii="Aptos" w:hAnsi="Aptos"/>
          <w:sz w:val="18"/>
          <w:lang w:val="en-US"/>
        </w:rPr>
        <w:t>Applications should be submitted to the following email address</w:t>
      </w:r>
      <w:r w:rsidR="00D143F0" w:rsidRPr="00D143F0">
        <w:rPr>
          <w:rFonts w:ascii="Aptos" w:hAnsi="Aptos"/>
          <w:sz w:val="18"/>
          <w:lang w:val="en-US"/>
        </w:rPr>
        <w:t xml:space="preserve">: </w:t>
      </w:r>
      <w:hyperlink r:id="rId8" w:history="1">
        <w:r w:rsidR="00D143F0" w:rsidRPr="00D143F0">
          <w:rPr>
            <w:rStyle w:val="Hyperlink"/>
            <w:rFonts w:ascii="Aptos" w:hAnsi="Aptos"/>
            <w:sz w:val="18"/>
            <w:lang w:val="en-US"/>
          </w:rPr>
          <w:t>projekti@cin.ba</w:t>
        </w:r>
      </w:hyperlink>
      <w:r w:rsidR="00D143F0" w:rsidRPr="00D143F0">
        <w:rPr>
          <w:rFonts w:ascii="Aptos" w:hAnsi="Aptos"/>
          <w:sz w:val="18"/>
          <w:lang w:val="en-US"/>
        </w:rPr>
        <w:t xml:space="preserve"> </w:t>
      </w:r>
      <w:r w:rsidRPr="00D143F0">
        <w:rPr>
          <w:rFonts w:ascii="Aptos" w:hAnsi="Aptos"/>
          <w:sz w:val="18"/>
          <w:lang w:val="en-US"/>
        </w:rPr>
        <w:t xml:space="preserve"> </w:t>
      </w:r>
    </w:p>
    <w:p w14:paraId="4A42D607" w14:textId="2A987B87" w:rsidR="00F96922" w:rsidRPr="00F96922" w:rsidRDefault="00F96922" w:rsidP="00F96922">
      <w:pPr>
        <w:rPr>
          <w:rFonts w:ascii="Aptos" w:hAnsi="Aptos"/>
          <w:sz w:val="18"/>
        </w:rPr>
      </w:pPr>
      <w:r w:rsidRPr="0031758C">
        <w:rPr>
          <w:rFonts w:ascii="Aptos" w:hAnsi="Aptos"/>
          <w:sz w:val="18"/>
        </w:rPr>
        <w:t>Questions could be submitted to</w:t>
      </w:r>
      <w:r w:rsidR="0031758C" w:rsidRPr="0031758C">
        <w:rPr>
          <w:rFonts w:ascii="Aptos" w:hAnsi="Aptos"/>
          <w:sz w:val="18"/>
        </w:rPr>
        <w:t xml:space="preserve"> email address</w:t>
      </w:r>
      <w:r w:rsidR="00D143F0">
        <w:rPr>
          <w:rFonts w:ascii="Aptos" w:hAnsi="Aptos"/>
          <w:sz w:val="18"/>
        </w:rPr>
        <w:t xml:space="preserve"> </w:t>
      </w:r>
      <w:r w:rsidRPr="0031758C">
        <w:rPr>
          <w:rFonts w:ascii="Aptos" w:hAnsi="Aptos"/>
          <w:sz w:val="18"/>
        </w:rPr>
        <w:t xml:space="preserve"> </w:t>
      </w:r>
      <w:hyperlink r:id="rId9" w:history="1">
        <w:r w:rsidR="00D143F0" w:rsidRPr="00F7329C">
          <w:rPr>
            <w:rStyle w:val="Hyperlink"/>
            <w:rFonts w:ascii="Aptos" w:hAnsi="Aptos"/>
            <w:sz w:val="18"/>
          </w:rPr>
          <w:t>projekti@cin.ba</w:t>
        </w:r>
      </w:hyperlink>
      <w:r w:rsidR="00D143F0">
        <w:rPr>
          <w:rFonts w:ascii="Aptos" w:hAnsi="Aptos"/>
          <w:sz w:val="18"/>
        </w:rPr>
        <w:t xml:space="preserve"> </w:t>
      </w:r>
      <w:r w:rsidR="00D143F0" w:rsidRPr="00D143F0">
        <w:rPr>
          <w:rFonts w:ascii="Aptos" w:hAnsi="Aptos"/>
          <w:sz w:val="18"/>
        </w:rPr>
        <w:t xml:space="preserve"> </w:t>
      </w:r>
      <w:r w:rsidR="00D143F0">
        <w:rPr>
          <w:rFonts w:ascii="Aptos" w:hAnsi="Aptos"/>
          <w:sz w:val="18"/>
        </w:rPr>
        <w:t xml:space="preserve"> </w:t>
      </w:r>
      <w:r w:rsidRPr="0031758C">
        <w:rPr>
          <w:rFonts w:ascii="Aptos" w:hAnsi="Aptos"/>
          <w:sz w:val="18"/>
        </w:rPr>
        <w:t>by October 26, 2026.</w:t>
      </w:r>
      <w:r w:rsidRPr="00F96922">
        <w:rPr>
          <w:rFonts w:ascii="Aptos" w:hAnsi="Aptos"/>
          <w:sz w:val="18"/>
        </w:rPr>
        <w:t xml:space="preserve"> </w:t>
      </w:r>
    </w:p>
    <w:p w14:paraId="0119B937" w14:textId="77777777" w:rsidR="00F96922" w:rsidRPr="00F96922" w:rsidRDefault="00F96922" w:rsidP="00F96922">
      <w:pPr>
        <w:rPr>
          <w:rFonts w:ascii="Aptos" w:hAnsi="Aptos"/>
          <w:sz w:val="18"/>
        </w:rPr>
      </w:pPr>
      <w:r w:rsidRPr="00F96922">
        <w:rPr>
          <w:rFonts w:ascii="Aptos" w:hAnsi="Aptos"/>
          <w:sz w:val="18"/>
        </w:rPr>
        <w:t>Notifications on winning applications: November 25, 2026 (tentative)</w:t>
      </w:r>
    </w:p>
    <w:p w14:paraId="52E33152" w14:textId="77777777" w:rsidR="00F96922" w:rsidRPr="00F96922" w:rsidRDefault="00F96922" w:rsidP="00F96922">
      <w:pPr>
        <w:rPr>
          <w:rFonts w:ascii="Aptos" w:hAnsi="Aptos"/>
          <w:sz w:val="18"/>
        </w:rPr>
      </w:pPr>
      <w:bookmarkStart w:id="0" w:name="_GoBack"/>
      <w:bookmarkEnd w:id="0"/>
    </w:p>
    <w:p w14:paraId="70E7F56C" w14:textId="77777777" w:rsidR="00F96922" w:rsidRPr="00F96922" w:rsidRDefault="00F96922" w:rsidP="00F96922">
      <w:pPr>
        <w:rPr>
          <w:rFonts w:ascii="Aptos" w:hAnsi="Aptos"/>
          <w:sz w:val="18"/>
        </w:rPr>
      </w:pPr>
      <w:r w:rsidRPr="00F96922">
        <w:rPr>
          <w:rFonts w:ascii="Aptos" w:hAnsi="Aptos"/>
          <w:sz w:val="18"/>
        </w:rPr>
        <w:t xml:space="preserve">Applications should include the following documents: a completed application form, an activity/work plan, an itemised budget, proof of legal registration and non-profit status, evidence of experience, declarations on conflict of interest and double funding, and co-applicant mandate(s), if applicable. </w:t>
      </w:r>
    </w:p>
    <w:p w14:paraId="0DBF255A" w14:textId="77777777" w:rsidR="00F96922" w:rsidRPr="00F96922" w:rsidRDefault="00F96922" w:rsidP="00F96922">
      <w:pPr>
        <w:rPr>
          <w:rFonts w:ascii="Aptos" w:hAnsi="Aptos"/>
          <w:sz w:val="18"/>
        </w:rPr>
      </w:pPr>
      <w:r w:rsidRPr="00F96922">
        <w:rPr>
          <w:rFonts w:ascii="Aptos" w:hAnsi="Aptos"/>
          <w:sz w:val="18"/>
        </w:rPr>
        <w:t>Applications received after the deadline or missing mandatory eligibility evidence will be treated according to the published administrative-check rules. Any opportunity to correct minor omissions must be applied equally.</w:t>
      </w:r>
    </w:p>
    <w:p w14:paraId="79089D92" w14:textId="77777777" w:rsidR="00F96922" w:rsidRPr="00F96922" w:rsidRDefault="00F96922" w:rsidP="00F96922">
      <w:pPr>
        <w:keepNext/>
        <w:keepLines/>
        <w:spacing w:before="160"/>
        <w:outlineLvl w:val="1"/>
        <w:rPr>
          <w:rFonts w:asciiTheme="majorHAnsi" w:eastAsiaTheme="majorEastAsia" w:hAnsiTheme="majorHAnsi" w:cstheme="majorBidi"/>
          <w:color w:val="0F4761" w:themeColor="accent1" w:themeShade="BF"/>
          <w:sz w:val="32"/>
          <w:szCs w:val="32"/>
        </w:rPr>
      </w:pPr>
      <w:r w:rsidRPr="00F96922">
        <w:rPr>
          <w:rFonts w:asciiTheme="majorHAnsi" w:eastAsiaTheme="majorEastAsia" w:hAnsiTheme="majorHAnsi" w:cstheme="majorBidi"/>
          <w:color w:val="0F4761" w:themeColor="accent1" w:themeShade="BF"/>
          <w:sz w:val="32"/>
          <w:szCs w:val="32"/>
        </w:rPr>
        <w:lastRenderedPageBreak/>
        <w:t>7. Evaluation criteria and scoring</w:t>
      </w:r>
    </w:p>
    <w:tbl>
      <w:tblPr>
        <w:tblStyle w:val="LightShading-Accent1"/>
        <w:tblW w:w="0" w:type="auto"/>
        <w:tblLook w:val="04A0" w:firstRow="1" w:lastRow="0" w:firstColumn="1" w:lastColumn="0" w:noHBand="0" w:noVBand="1"/>
      </w:tblPr>
      <w:tblGrid>
        <w:gridCol w:w="4513"/>
        <w:gridCol w:w="4513"/>
      </w:tblGrid>
      <w:tr w:rsidR="00F96922" w:rsidRPr="00F96922" w14:paraId="3A3D7778" w14:textId="77777777" w:rsidTr="00A86F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Pr>
          <w:p w14:paraId="5A91ECDD" w14:textId="77777777" w:rsidR="00F96922" w:rsidRPr="00F96922" w:rsidRDefault="00F96922" w:rsidP="00F96922">
            <w:pPr>
              <w:rPr>
                <w:rFonts w:ascii="Aptos" w:hAnsi="Aptos"/>
                <w:sz w:val="18"/>
              </w:rPr>
            </w:pPr>
            <w:r w:rsidRPr="00F96922">
              <w:rPr>
                <w:rFonts w:ascii="Aptos" w:hAnsi="Aptos"/>
                <w:sz w:val="18"/>
              </w:rPr>
              <w:t>Criterion</w:t>
            </w:r>
          </w:p>
        </w:tc>
        <w:tc>
          <w:tcPr>
            <w:tcW w:w="4513" w:type="dxa"/>
          </w:tcPr>
          <w:p w14:paraId="2B38B9D2" w14:textId="77777777" w:rsidR="00F96922" w:rsidRPr="00F96922" w:rsidRDefault="00F96922" w:rsidP="00F96922">
            <w:pPr>
              <w:cnfStyle w:val="100000000000" w:firstRow="1" w:lastRow="0" w:firstColumn="0" w:lastColumn="0" w:oddVBand="0" w:evenVBand="0" w:oddHBand="0" w:evenHBand="0" w:firstRowFirstColumn="0" w:firstRowLastColumn="0" w:lastRowFirstColumn="0" w:lastRowLastColumn="0"/>
              <w:rPr>
                <w:rFonts w:ascii="Aptos" w:hAnsi="Aptos"/>
                <w:sz w:val="18"/>
              </w:rPr>
            </w:pPr>
            <w:r w:rsidRPr="00F96922">
              <w:rPr>
                <w:rFonts w:ascii="Aptos" w:hAnsi="Aptos"/>
                <w:sz w:val="18"/>
              </w:rPr>
              <w:t>Maximum points</w:t>
            </w:r>
          </w:p>
        </w:tc>
      </w:tr>
      <w:tr w:rsidR="00F96922" w:rsidRPr="00F96922" w14:paraId="45D82CDE" w14:textId="77777777" w:rsidTr="00A86F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Pr>
          <w:p w14:paraId="631D09B0" w14:textId="77777777" w:rsidR="00F96922" w:rsidRPr="00F96922" w:rsidRDefault="00F96922" w:rsidP="00F96922">
            <w:pPr>
              <w:rPr>
                <w:rFonts w:ascii="Aptos" w:hAnsi="Aptos"/>
                <w:sz w:val="18"/>
              </w:rPr>
            </w:pPr>
            <w:r w:rsidRPr="00F96922">
              <w:rPr>
                <w:rFonts w:ascii="Aptos" w:hAnsi="Aptos"/>
                <w:sz w:val="18"/>
              </w:rPr>
              <w:t>Relevance to call objectives and target-group needs</w:t>
            </w:r>
          </w:p>
        </w:tc>
        <w:tc>
          <w:tcPr>
            <w:tcW w:w="4513" w:type="dxa"/>
          </w:tcPr>
          <w:p w14:paraId="6C098FA2" w14:textId="77777777" w:rsidR="00F96922" w:rsidRPr="00F96922" w:rsidRDefault="00F96922" w:rsidP="00F9692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F96922">
              <w:rPr>
                <w:rFonts w:ascii="Aptos" w:hAnsi="Aptos"/>
                <w:sz w:val="18"/>
              </w:rPr>
              <w:t>30</w:t>
            </w:r>
          </w:p>
        </w:tc>
      </w:tr>
      <w:tr w:rsidR="00F96922" w:rsidRPr="00F96922" w14:paraId="4C1A9414" w14:textId="77777777" w:rsidTr="00A86FD0">
        <w:tc>
          <w:tcPr>
            <w:cnfStyle w:val="001000000000" w:firstRow="0" w:lastRow="0" w:firstColumn="1" w:lastColumn="0" w:oddVBand="0" w:evenVBand="0" w:oddHBand="0" w:evenHBand="0" w:firstRowFirstColumn="0" w:firstRowLastColumn="0" w:lastRowFirstColumn="0" w:lastRowLastColumn="0"/>
            <w:tcW w:w="4513" w:type="dxa"/>
          </w:tcPr>
          <w:p w14:paraId="113E1399" w14:textId="77777777" w:rsidR="00F96922" w:rsidRPr="00F96922" w:rsidRDefault="00F96922" w:rsidP="00F96922">
            <w:pPr>
              <w:rPr>
                <w:rFonts w:ascii="Aptos" w:hAnsi="Aptos"/>
                <w:sz w:val="18"/>
              </w:rPr>
            </w:pPr>
            <w:r w:rsidRPr="00F96922">
              <w:rPr>
                <w:rFonts w:ascii="Aptos" w:hAnsi="Aptos"/>
                <w:sz w:val="18"/>
              </w:rPr>
              <w:t>Effectiveness and feasibility; consistency of objectives, results, activities and strategy</w:t>
            </w:r>
          </w:p>
        </w:tc>
        <w:tc>
          <w:tcPr>
            <w:tcW w:w="4513" w:type="dxa"/>
          </w:tcPr>
          <w:p w14:paraId="15828AFC" w14:textId="77777777" w:rsidR="00F96922" w:rsidRPr="00F96922" w:rsidRDefault="00F96922" w:rsidP="00F96922">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F96922">
              <w:rPr>
                <w:rFonts w:ascii="Aptos" w:hAnsi="Aptos"/>
                <w:sz w:val="18"/>
              </w:rPr>
              <w:t>20</w:t>
            </w:r>
          </w:p>
        </w:tc>
      </w:tr>
      <w:tr w:rsidR="00F96922" w:rsidRPr="00F96922" w14:paraId="28843B56" w14:textId="77777777" w:rsidTr="00A86F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Pr>
          <w:p w14:paraId="32AF9563" w14:textId="77777777" w:rsidR="00F96922" w:rsidRPr="00F96922" w:rsidRDefault="00F96922" w:rsidP="00F96922">
            <w:pPr>
              <w:rPr>
                <w:rFonts w:ascii="Aptos" w:hAnsi="Aptos"/>
                <w:sz w:val="18"/>
              </w:rPr>
            </w:pPr>
            <w:r w:rsidRPr="00F96922">
              <w:rPr>
                <w:rFonts w:ascii="Aptos" w:hAnsi="Aptos"/>
                <w:sz w:val="18"/>
              </w:rPr>
              <w:t>Financial and operational capacity</w:t>
            </w:r>
          </w:p>
        </w:tc>
        <w:tc>
          <w:tcPr>
            <w:tcW w:w="4513" w:type="dxa"/>
          </w:tcPr>
          <w:p w14:paraId="1502D3CE" w14:textId="77777777" w:rsidR="00F96922" w:rsidRPr="00F96922" w:rsidRDefault="00F96922" w:rsidP="00F9692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F96922">
              <w:rPr>
                <w:rFonts w:ascii="Aptos" w:hAnsi="Aptos"/>
                <w:sz w:val="18"/>
              </w:rPr>
              <w:t>20</w:t>
            </w:r>
          </w:p>
        </w:tc>
      </w:tr>
      <w:tr w:rsidR="00F96922" w:rsidRPr="00F96922" w14:paraId="43854FA3" w14:textId="77777777" w:rsidTr="00A86FD0">
        <w:tc>
          <w:tcPr>
            <w:cnfStyle w:val="001000000000" w:firstRow="0" w:lastRow="0" w:firstColumn="1" w:lastColumn="0" w:oddVBand="0" w:evenVBand="0" w:oddHBand="0" w:evenHBand="0" w:firstRowFirstColumn="0" w:firstRowLastColumn="0" w:lastRowFirstColumn="0" w:lastRowLastColumn="0"/>
            <w:tcW w:w="4513" w:type="dxa"/>
          </w:tcPr>
          <w:p w14:paraId="73E5203D" w14:textId="77777777" w:rsidR="00F96922" w:rsidRPr="00F96922" w:rsidRDefault="00F96922" w:rsidP="00F96922">
            <w:pPr>
              <w:rPr>
                <w:rFonts w:ascii="Aptos" w:hAnsi="Aptos"/>
                <w:sz w:val="18"/>
              </w:rPr>
            </w:pPr>
            <w:r w:rsidRPr="00F96922">
              <w:rPr>
                <w:rFonts w:ascii="Aptos" w:hAnsi="Aptos"/>
                <w:sz w:val="18"/>
              </w:rPr>
              <w:t>Impact and stakeholder involvement; verifiable indicators</w:t>
            </w:r>
          </w:p>
        </w:tc>
        <w:tc>
          <w:tcPr>
            <w:tcW w:w="4513" w:type="dxa"/>
          </w:tcPr>
          <w:p w14:paraId="3812C7BC" w14:textId="77777777" w:rsidR="00F96922" w:rsidRPr="00F96922" w:rsidRDefault="00F96922" w:rsidP="00F96922">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F96922">
              <w:rPr>
                <w:rFonts w:ascii="Aptos" w:hAnsi="Aptos"/>
                <w:sz w:val="18"/>
              </w:rPr>
              <w:t>10</w:t>
            </w:r>
          </w:p>
        </w:tc>
      </w:tr>
      <w:tr w:rsidR="00F96922" w:rsidRPr="00F96922" w14:paraId="110DE54E" w14:textId="77777777" w:rsidTr="00A86F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Pr>
          <w:p w14:paraId="6C4CFFF9" w14:textId="77777777" w:rsidR="00F96922" w:rsidRPr="00F96922" w:rsidRDefault="00F96922" w:rsidP="00F96922">
            <w:pPr>
              <w:rPr>
                <w:rFonts w:ascii="Aptos" w:hAnsi="Aptos"/>
                <w:sz w:val="18"/>
              </w:rPr>
            </w:pPr>
            <w:r w:rsidRPr="00F96922">
              <w:rPr>
                <w:rFonts w:ascii="Aptos" w:hAnsi="Aptos"/>
                <w:sz w:val="18"/>
              </w:rPr>
              <w:t>Vulnerable groups and gender considerations</w:t>
            </w:r>
          </w:p>
        </w:tc>
        <w:tc>
          <w:tcPr>
            <w:tcW w:w="4513" w:type="dxa"/>
          </w:tcPr>
          <w:p w14:paraId="6104D28A" w14:textId="77777777" w:rsidR="00F96922" w:rsidRPr="00F96922" w:rsidRDefault="00F96922" w:rsidP="00F9692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F96922">
              <w:rPr>
                <w:rFonts w:ascii="Aptos" w:hAnsi="Aptos"/>
                <w:sz w:val="18"/>
              </w:rPr>
              <w:t>5</w:t>
            </w:r>
          </w:p>
        </w:tc>
      </w:tr>
      <w:tr w:rsidR="00F96922" w:rsidRPr="00F96922" w14:paraId="06A0B1C8" w14:textId="77777777" w:rsidTr="00A86FD0">
        <w:tc>
          <w:tcPr>
            <w:cnfStyle w:val="001000000000" w:firstRow="0" w:lastRow="0" w:firstColumn="1" w:lastColumn="0" w:oddVBand="0" w:evenVBand="0" w:oddHBand="0" w:evenHBand="0" w:firstRowFirstColumn="0" w:firstRowLastColumn="0" w:lastRowFirstColumn="0" w:lastRowLastColumn="0"/>
            <w:tcW w:w="4513" w:type="dxa"/>
          </w:tcPr>
          <w:p w14:paraId="5D22ADC3" w14:textId="77777777" w:rsidR="00F96922" w:rsidRPr="00F96922" w:rsidRDefault="00F96922" w:rsidP="00F96922">
            <w:pPr>
              <w:rPr>
                <w:rFonts w:ascii="Aptos" w:hAnsi="Aptos"/>
                <w:sz w:val="18"/>
              </w:rPr>
            </w:pPr>
            <w:r w:rsidRPr="00F96922">
              <w:rPr>
                <w:rFonts w:ascii="Aptos" w:hAnsi="Aptos"/>
                <w:sz w:val="18"/>
              </w:rPr>
              <w:t>Sustainability</w:t>
            </w:r>
          </w:p>
        </w:tc>
        <w:tc>
          <w:tcPr>
            <w:tcW w:w="4513" w:type="dxa"/>
          </w:tcPr>
          <w:p w14:paraId="1670F62C" w14:textId="77777777" w:rsidR="00F96922" w:rsidRPr="00F96922" w:rsidRDefault="00F96922" w:rsidP="00F96922">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F96922">
              <w:rPr>
                <w:rFonts w:ascii="Aptos" w:hAnsi="Aptos"/>
                <w:sz w:val="18"/>
              </w:rPr>
              <w:t>5</w:t>
            </w:r>
          </w:p>
        </w:tc>
      </w:tr>
      <w:tr w:rsidR="00F96922" w:rsidRPr="00F96922" w14:paraId="1E0D816A" w14:textId="77777777" w:rsidTr="00A86F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Pr>
          <w:p w14:paraId="5DD0F72F" w14:textId="77777777" w:rsidR="00F96922" w:rsidRPr="00F96922" w:rsidRDefault="00F96922" w:rsidP="00F96922">
            <w:pPr>
              <w:rPr>
                <w:rFonts w:ascii="Aptos" w:hAnsi="Aptos"/>
                <w:sz w:val="18"/>
              </w:rPr>
            </w:pPr>
            <w:r w:rsidRPr="00F96922">
              <w:rPr>
                <w:rFonts w:ascii="Aptos" w:hAnsi="Aptos"/>
                <w:sz w:val="18"/>
              </w:rPr>
              <w:t>Budget and cost-effectiveness</w:t>
            </w:r>
          </w:p>
        </w:tc>
        <w:tc>
          <w:tcPr>
            <w:tcW w:w="4513" w:type="dxa"/>
          </w:tcPr>
          <w:p w14:paraId="34A7A263" w14:textId="77777777" w:rsidR="00F96922" w:rsidRPr="00F96922" w:rsidRDefault="00F96922" w:rsidP="00F96922">
            <w:pPr>
              <w:cnfStyle w:val="000000100000" w:firstRow="0" w:lastRow="0" w:firstColumn="0" w:lastColumn="0" w:oddVBand="0" w:evenVBand="0" w:oddHBand="1" w:evenHBand="0" w:firstRowFirstColumn="0" w:firstRowLastColumn="0" w:lastRowFirstColumn="0" w:lastRowLastColumn="0"/>
              <w:rPr>
                <w:rFonts w:ascii="Aptos" w:hAnsi="Aptos"/>
                <w:sz w:val="18"/>
              </w:rPr>
            </w:pPr>
            <w:r w:rsidRPr="00F96922">
              <w:rPr>
                <w:rFonts w:ascii="Aptos" w:hAnsi="Aptos"/>
                <w:sz w:val="18"/>
              </w:rPr>
              <w:t>10</w:t>
            </w:r>
          </w:p>
        </w:tc>
      </w:tr>
      <w:tr w:rsidR="00F96922" w:rsidRPr="00F96922" w14:paraId="4B80C5EA" w14:textId="77777777" w:rsidTr="00A86FD0">
        <w:tc>
          <w:tcPr>
            <w:cnfStyle w:val="001000000000" w:firstRow="0" w:lastRow="0" w:firstColumn="1" w:lastColumn="0" w:oddVBand="0" w:evenVBand="0" w:oddHBand="0" w:evenHBand="0" w:firstRowFirstColumn="0" w:firstRowLastColumn="0" w:lastRowFirstColumn="0" w:lastRowLastColumn="0"/>
            <w:tcW w:w="4513" w:type="dxa"/>
          </w:tcPr>
          <w:p w14:paraId="072A83FF" w14:textId="77777777" w:rsidR="00F96922" w:rsidRPr="00F96922" w:rsidRDefault="00F96922" w:rsidP="00F96922">
            <w:pPr>
              <w:rPr>
                <w:rFonts w:ascii="Aptos" w:hAnsi="Aptos"/>
                <w:sz w:val="18"/>
              </w:rPr>
            </w:pPr>
            <w:r w:rsidRPr="00F96922">
              <w:rPr>
                <w:rFonts w:ascii="Aptos" w:hAnsi="Aptos"/>
                <w:sz w:val="18"/>
              </w:rPr>
              <w:t>TOTAL</w:t>
            </w:r>
          </w:p>
        </w:tc>
        <w:tc>
          <w:tcPr>
            <w:tcW w:w="4513" w:type="dxa"/>
          </w:tcPr>
          <w:p w14:paraId="051681DE" w14:textId="77777777" w:rsidR="00F96922" w:rsidRPr="00F96922" w:rsidRDefault="00F96922" w:rsidP="00F96922">
            <w:pPr>
              <w:cnfStyle w:val="000000000000" w:firstRow="0" w:lastRow="0" w:firstColumn="0" w:lastColumn="0" w:oddVBand="0" w:evenVBand="0" w:oddHBand="0" w:evenHBand="0" w:firstRowFirstColumn="0" w:firstRowLastColumn="0" w:lastRowFirstColumn="0" w:lastRowLastColumn="0"/>
              <w:rPr>
                <w:rFonts w:ascii="Aptos" w:hAnsi="Aptos"/>
                <w:sz w:val="18"/>
              </w:rPr>
            </w:pPr>
            <w:r w:rsidRPr="00F96922">
              <w:rPr>
                <w:rFonts w:ascii="Aptos" w:hAnsi="Aptos"/>
                <w:sz w:val="18"/>
              </w:rPr>
              <w:t>100</w:t>
            </w:r>
          </w:p>
        </w:tc>
      </w:tr>
    </w:tbl>
    <w:p w14:paraId="2635788D" w14:textId="77777777" w:rsidR="00F96922" w:rsidRPr="00F96922" w:rsidRDefault="00F96922" w:rsidP="00F96922">
      <w:pPr>
        <w:keepNext/>
        <w:keepLines/>
        <w:spacing w:before="160"/>
        <w:outlineLvl w:val="1"/>
        <w:rPr>
          <w:rFonts w:asciiTheme="majorHAnsi" w:eastAsiaTheme="majorEastAsia" w:hAnsiTheme="majorHAnsi" w:cstheme="majorBidi"/>
          <w:color w:val="0F4761" w:themeColor="accent1" w:themeShade="BF"/>
          <w:sz w:val="32"/>
          <w:szCs w:val="32"/>
        </w:rPr>
      </w:pPr>
      <w:r w:rsidRPr="00F96922">
        <w:rPr>
          <w:rFonts w:asciiTheme="majorHAnsi" w:eastAsiaTheme="majorEastAsia" w:hAnsiTheme="majorHAnsi" w:cstheme="majorBidi"/>
          <w:color w:val="0F4761" w:themeColor="accent1" w:themeShade="BF"/>
          <w:sz w:val="32"/>
          <w:szCs w:val="32"/>
        </w:rPr>
        <w:t>8. Complaints and contracting</w:t>
      </w:r>
    </w:p>
    <w:p w14:paraId="6C5E8B31" w14:textId="77777777" w:rsidR="00F96922" w:rsidRPr="00F96922" w:rsidRDefault="00F96922" w:rsidP="00F96922">
      <w:pPr>
        <w:rPr>
          <w:rFonts w:ascii="Aptos" w:hAnsi="Aptos"/>
          <w:sz w:val="18"/>
        </w:rPr>
      </w:pPr>
      <w:r w:rsidRPr="00F96922">
        <w:rPr>
          <w:rFonts w:ascii="Aptos" w:hAnsi="Aptos"/>
          <w:sz w:val="18"/>
        </w:rPr>
        <w:t xml:space="preserve">An indicative 8-day complaint period follows publication/notification of selection results. The Evaluation Committee is responsible for review under an impartial, documented process; members directly involved in a contested assessment should not determine its complaint outcome. CIN signs grant agreements with selected beneficiaries. </w:t>
      </w:r>
    </w:p>
    <w:p w14:paraId="020ECC11" w14:textId="77777777" w:rsidR="00F96922" w:rsidRPr="00F96922" w:rsidRDefault="00F96922" w:rsidP="00F96922">
      <w:pPr>
        <w:keepNext/>
        <w:keepLines/>
        <w:spacing w:before="160"/>
        <w:outlineLvl w:val="1"/>
        <w:rPr>
          <w:rFonts w:asciiTheme="majorHAnsi" w:eastAsiaTheme="majorEastAsia" w:hAnsiTheme="majorHAnsi" w:cstheme="majorBidi"/>
          <w:color w:val="0F4761" w:themeColor="accent1" w:themeShade="BF"/>
          <w:sz w:val="32"/>
          <w:szCs w:val="32"/>
        </w:rPr>
      </w:pPr>
      <w:r w:rsidRPr="00F96922">
        <w:rPr>
          <w:rFonts w:asciiTheme="majorHAnsi" w:eastAsiaTheme="majorEastAsia" w:hAnsiTheme="majorHAnsi" w:cstheme="majorBidi"/>
          <w:color w:val="0F4761" w:themeColor="accent1" w:themeShade="BF"/>
          <w:sz w:val="32"/>
          <w:szCs w:val="32"/>
        </w:rPr>
        <w:t>9. Monitoring, reporting and oversight</w:t>
      </w:r>
    </w:p>
    <w:p w14:paraId="0CB765FF" w14:textId="77777777" w:rsidR="00F96922" w:rsidRPr="00F96922" w:rsidRDefault="00F96922" w:rsidP="00F96922">
      <w:pPr>
        <w:rPr>
          <w:rFonts w:ascii="Aptos" w:hAnsi="Aptos"/>
          <w:sz w:val="18"/>
        </w:rPr>
      </w:pPr>
      <w:r w:rsidRPr="00F96922">
        <w:rPr>
          <w:rFonts w:ascii="Aptos" w:hAnsi="Aptos"/>
          <w:sz w:val="18"/>
        </w:rPr>
        <w:t>Grantees implement approved actions, track results against indicators, maintain supporting financial and activity records, and submit narrative and financial reports in the format and schedule set out in the grant agreement. Project partners provide administrative and substantive supervision and may request clarifications or supporting evidence. CIN and partners consolidate SGS results for project reporting. EU visibility obligations apply to funded outputs.</w:t>
      </w:r>
    </w:p>
    <w:p w14:paraId="10A4FA5F" w14:textId="77777777" w:rsidR="005E0B61" w:rsidRPr="005379F3" w:rsidRDefault="005E0B61" w:rsidP="005379F3"/>
    <w:sectPr w:rsidR="005E0B61" w:rsidRPr="005379F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1DFA4" w14:textId="77777777" w:rsidR="00077DF8" w:rsidRDefault="00077DF8" w:rsidP="00753456">
      <w:pPr>
        <w:spacing w:after="0"/>
      </w:pPr>
      <w:r>
        <w:separator/>
      </w:r>
    </w:p>
  </w:endnote>
  <w:endnote w:type="continuationSeparator" w:id="0">
    <w:p w14:paraId="46F0F870" w14:textId="77777777" w:rsidR="00077DF8" w:rsidRDefault="00077DF8" w:rsidP="007534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F972B" w14:textId="22B23DA9" w:rsidR="00753456" w:rsidRPr="00753456" w:rsidRDefault="00753456" w:rsidP="00753456">
    <w:pPr>
      <w:pStyle w:val="Footer"/>
    </w:pPr>
  </w:p>
  <w:p w14:paraId="67AC4CBF" w14:textId="0ECF0122" w:rsidR="00753456" w:rsidRDefault="00753456">
    <w:pPr>
      <w:pStyle w:val="Footer"/>
    </w:pPr>
    <w:r>
      <w:rPr>
        <w:noProof/>
      </w:rPr>
      <w:drawing>
        <wp:inline distT="0" distB="0" distL="0" distR="0" wp14:anchorId="46B509DD" wp14:editId="515BE2C0">
          <wp:extent cx="1085850" cy="283473"/>
          <wp:effectExtent l="0" t="0" r="0" b="2540"/>
          <wp:docPr id="15787120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9095" cy="29476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A47BEC" w14:textId="77777777" w:rsidR="00077DF8" w:rsidRDefault="00077DF8" w:rsidP="00753456">
      <w:pPr>
        <w:spacing w:after="0"/>
      </w:pPr>
      <w:r>
        <w:separator/>
      </w:r>
    </w:p>
  </w:footnote>
  <w:footnote w:type="continuationSeparator" w:id="0">
    <w:p w14:paraId="62F1B6F7" w14:textId="77777777" w:rsidR="00077DF8" w:rsidRDefault="00077DF8" w:rsidP="007534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4AEB58" w14:textId="63C7A8F5" w:rsidR="00753456" w:rsidRPr="00753456" w:rsidRDefault="005D5B7F" w:rsidP="00BD6231">
    <w:pPr>
      <w:pStyle w:val="Header"/>
      <w:jc w:val="center"/>
    </w:pPr>
    <w:r>
      <w:rPr>
        <w:noProof/>
      </w:rPr>
      <w:drawing>
        <wp:inline distT="0" distB="0" distL="0" distR="0" wp14:anchorId="7DA9ADD2" wp14:editId="58C48B74">
          <wp:extent cx="5864699" cy="65532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zajn bez naslova (25).png"/>
                  <pic:cNvPicPr/>
                </pic:nvPicPr>
                <pic:blipFill rotWithShape="1">
                  <a:blip r:embed="rId1">
                    <a:extLst>
                      <a:ext uri="{28A0092B-C50C-407E-A947-70E740481C1C}">
                        <a14:useLocalDpi xmlns:a14="http://schemas.microsoft.com/office/drawing/2010/main" val="0"/>
                      </a:ext>
                    </a:extLst>
                  </a:blip>
                  <a:srcRect l="3058" t="40654" r="2947" b="40673"/>
                  <a:stretch/>
                </pic:blipFill>
                <pic:spPr bwMode="auto">
                  <a:xfrm>
                    <a:off x="0" y="0"/>
                    <a:ext cx="5880294" cy="657063"/>
                  </a:xfrm>
                  <a:prstGeom prst="rect">
                    <a:avLst/>
                  </a:prstGeom>
                  <a:ln>
                    <a:noFill/>
                  </a:ln>
                  <a:extLst>
                    <a:ext uri="{53640926-AAD7-44D8-BBD7-CCE9431645EC}">
                      <a14:shadowObscured xmlns:a14="http://schemas.microsoft.com/office/drawing/2010/main"/>
                    </a:ext>
                  </a:extLst>
                </pic:spPr>
              </pic:pic>
            </a:graphicData>
          </a:graphic>
        </wp:inline>
      </w:drawing>
    </w:r>
  </w:p>
  <w:p w14:paraId="1AE275C9" w14:textId="77777777" w:rsidR="00753456" w:rsidRDefault="007534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B82E1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9FC04F0"/>
    <w:multiLevelType w:val="hybridMultilevel"/>
    <w:tmpl w:val="43D81F48"/>
    <w:lvl w:ilvl="0" w:tplc="27147416">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D46B2A"/>
    <w:multiLevelType w:val="multilevel"/>
    <w:tmpl w:val="14CE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3C71A9"/>
    <w:multiLevelType w:val="hybridMultilevel"/>
    <w:tmpl w:val="845C3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030B56"/>
    <w:multiLevelType w:val="hybridMultilevel"/>
    <w:tmpl w:val="194E3B2A"/>
    <w:lvl w:ilvl="0" w:tplc="27147416">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5C7EE8"/>
    <w:multiLevelType w:val="hybridMultilevel"/>
    <w:tmpl w:val="3F64301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6" w15:restartNumberingAfterBreak="0">
    <w:nsid w:val="7FA5425E"/>
    <w:multiLevelType w:val="hybridMultilevel"/>
    <w:tmpl w:val="F46C6E1C"/>
    <w:lvl w:ilvl="0" w:tplc="27147416">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6"/>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B47"/>
    <w:rsid w:val="00011397"/>
    <w:rsid w:val="00077DF8"/>
    <w:rsid w:val="000B5A39"/>
    <w:rsid w:val="00282E43"/>
    <w:rsid w:val="002F1B6A"/>
    <w:rsid w:val="0031758C"/>
    <w:rsid w:val="0032403E"/>
    <w:rsid w:val="00351B54"/>
    <w:rsid w:val="00353C79"/>
    <w:rsid w:val="00363CE4"/>
    <w:rsid w:val="0041236F"/>
    <w:rsid w:val="00502B47"/>
    <w:rsid w:val="005379F3"/>
    <w:rsid w:val="0058661A"/>
    <w:rsid w:val="005D5B7F"/>
    <w:rsid w:val="005E0B19"/>
    <w:rsid w:val="005E0B61"/>
    <w:rsid w:val="00643427"/>
    <w:rsid w:val="00667A67"/>
    <w:rsid w:val="00753456"/>
    <w:rsid w:val="00855250"/>
    <w:rsid w:val="008B5503"/>
    <w:rsid w:val="00982F20"/>
    <w:rsid w:val="00A20E96"/>
    <w:rsid w:val="00AA13B2"/>
    <w:rsid w:val="00BD6231"/>
    <w:rsid w:val="00C36CEA"/>
    <w:rsid w:val="00C510AD"/>
    <w:rsid w:val="00C530F0"/>
    <w:rsid w:val="00D143F0"/>
    <w:rsid w:val="00D41E67"/>
    <w:rsid w:val="00EF1A81"/>
    <w:rsid w:val="00EF7CDF"/>
    <w:rsid w:val="00F81471"/>
    <w:rsid w:val="00F969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FEE5A"/>
  <w15:chartTrackingRefBased/>
  <w15:docId w15:val="{B2C7790E-7015-BA4E-A10B-0EF819BF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2B47"/>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2B47"/>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2B47"/>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2B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2B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2B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2B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2B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2B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B4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02B4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502B4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02B4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02B4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02B4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02B4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02B4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02B4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02B4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B4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02B4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B4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02B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2B47"/>
    <w:rPr>
      <w:i/>
      <w:iCs/>
      <w:color w:val="404040" w:themeColor="text1" w:themeTint="BF"/>
      <w:lang w:val="en-GB"/>
    </w:rPr>
  </w:style>
  <w:style w:type="paragraph" w:styleId="ListParagraph">
    <w:name w:val="List Paragraph"/>
    <w:basedOn w:val="Normal"/>
    <w:uiPriority w:val="34"/>
    <w:qFormat/>
    <w:rsid w:val="00502B47"/>
    <w:pPr>
      <w:ind w:left="720"/>
      <w:contextualSpacing/>
    </w:pPr>
  </w:style>
  <w:style w:type="character" w:styleId="IntenseEmphasis">
    <w:name w:val="Intense Emphasis"/>
    <w:basedOn w:val="DefaultParagraphFont"/>
    <w:uiPriority w:val="21"/>
    <w:qFormat/>
    <w:rsid w:val="00502B47"/>
    <w:rPr>
      <w:i/>
      <w:iCs/>
      <w:color w:val="0F4761" w:themeColor="accent1" w:themeShade="BF"/>
    </w:rPr>
  </w:style>
  <w:style w:type="paragraph" w:styleId="IntenseQuote">
    <w:name w:val="Intense Quote"/>
    <w:basedOn w:val="Normal"/>
    <w:next w:val="Normal"/>
    <w:link w:val="IntenseQuoteChar"/>
    <w:uiPriority w:val="30"/>
    <w:qFormat/>
    <w:rsid w:val="00502B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2B47"/>
    <w:rPr>
      <w:i/>
      <w:iCs/>
      <w:color w:val="0F4761" w:themeColor="accent1" w:themeShade="BF"/>
      <w:lang w:val="en-GB"/>
    </w:rPr>
  </w:style>
  <w:style w:type="character" w:styleId="IntenseReference">
    <w:name w:val="Intense Reference"/>
    <w:basedOn w:val="DefaultParagraphFont"/>
    <w:uiPriority w:val="32"/>
    <w:qFormat/>
    <w:rsid w:val="00502B4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02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en-GB"/>
      <w14:ligatures w14:val="none"/>
    </w:rPr>
  </w:style>
  <w:style w:type="character" w:customStyle="1" w:styleId="HTMLPreformattedChar">
    <w:name w:val="HTML Preformatted Char"/>
    <w:basedOn w:val="DefaultParagraphFont"/>
    <w:link w:val="HTMLPreformatted"/>
    <w:uiPriority w:val="99"/>
    <w:semiHidden/>
    <w:rsid w:val="00502B47"/>
    <w:rPr>
      <w:rFonts w:ascii="Courier New" w:eastAsia="Times New Roman" w:hAnsi="Courier New" w:cs="Courier New"/>
      <w:kern w:val="0"/>
      <w:sz w:val="20"/>
      <w:szCs w:val="20"/>
      <w:lang w:eastAsia="en-GB"/>
      <w14:ligatures w14:val="none"/>
    </w:rPr>
  </w:style>
  <w:style w:type="character" w:customStyle="1" w:styleId="y2iqfc">
    <w:name w:val="y2iqfc"/>
    <w:basedOn w:val="DefaultParagraphFont"/>
    <w:rsid w:val="00502B47"/>
  </w:style>
  <w:style w:type="paragraph" w:styleId="Header">
    <w:name w:val="header"/>
    <w:basedOn w:val="Normal"/>
    <w:link w:val="HeaderChar"/>
    <w:uiPriority w:val="99"/>
    <w:unhideWhenUsed/>
    <w:rsid w:val="00753456"/>
    <w:pPr>
      <w:tabs>
        <w:tab w:val="center" w:pos="4680"/>
        <w:tab w:val="right" w:pos="9360"/>
      </w:tabs>
      <w:spacing w:after="0"/>
    </w:pPr>
  </w:style>
  <w:style w:type="character" w:customStyle="1" w:styleId="HeaderChar">
    <w:name w:val="Header Char"/>
    <w:basedOn w:val="DefaultParagraphFont"/>
    <w:link w:val="Header"/>
    <w:uiPriority w:val="99"/>
    <w:rsid w:val="00753456"/>
    <w:rPr>
      <w:lang w:val="en-GB"/>
    </w:rPr>
  </w:style>
  <w:style w:type="paragraph" w:styleId="Footer">
    <w:name w:val="footer"/>
    <w:basedOn w:val="Normal"/>
    <w:link w:val="FooterChar"/>
    <w:uiPriority w:val="99"/>
    <w:unhideWhenUsed/>
    <w:rsid w:val="00753456"/>
    <w:pPr>
      <w:tabs>
        <w:tab w:val="center" w:pos="4680"/>
        <w:tab w:val="right" w:pos="9360"/>
      </w:tabs>
      <w:spacing w:after="0"/>
    </w:pPr>
  </w:style>
  <w:style w:type="character" w:customStyle="1" w:styleId="FooterChar">
    <w:name w:val="Footer Char"/>
    <w:basedOn w:val="DefaultParagraphFont"/>
    <w:link w:val="Footer"/>
    <w:uiPriority w:val="99"/>
    <w:rsid w:val="00753456"/>
    <w:rPr>
      <w:lang w:val="en-GB"/>
    </w:rPr>
  </w:style>
  <w:style w:type="paragraph" w:styleId="ListBullet">
    <w:name w:val="List Bullet"/>
    <w:basedOn w:val="Normal"/>
    <w:uiPriority w:val="99"/>
    <w:unhideWhenUsed/>
    <w:rsid w:val="00351B54"/>
    <w:pPr>
      <w:numPr>
        <w:numId w:val="3"/>
      </w:numPr>
      <w:tabs>
        <w:tab w:val="clear" w:pos="360"/>
      </w:tabs>
      <w:spacing w:after="200" w:line="276" w:lineRule="auto"/>
      <w:ind w:left="0" w:firstLine="0"/>
      <w:contextualSpacing/>
    </w:pPr>
    <w:rPr>
      <w:rFonts w:ascii="Aptos" w:eastAsiaTheme="minorEastAsia" w:hAnsi="Aptos"/>
      <w:kern w:val="0"/>
      <w:sz w:val="20"/>
      <w:szCs w:val="22"/>
      <w:lang w:val="en-US"/>
      <w14:ligatures w14:val="none"/>
    </w:rPr>
  </w:style>
  <w:style w:type="table" w:styleId="LightShading-Accent1">
    <w:name w:val="Light Shading Accent 1"/>
    <w:basedOn w:val="TableNormal"/>
    <w:uiPriority w:val="60"/>
    <w:rsid w:val="00351B54"/>
    <w:pPr>
      <w:spacing w:after="0"/>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character" w:styleId="Hyperlink">
    <w:name w:val="Hyperlink"/>
    <w:basedOn w:val="DefaultParagraphFont"/>
    <w:uiPriority w:val="99"/>
    <w:unhideWhenUsed/>
    <w:rsid w:val="0031758C"/>
    <w:rPr>
      <w:color w:val="467886" w:themeColor="hyperlink"/>
      <w:u w:val="single"/>
    </w:rPr>
  </w:style>
  <w:style w:type="character" w:styleId="UnresolvedMention">
    <w:name w:val="Unresolved Mention"/>
    <w:basedOn w:val="DefaultParagraphFont"/>
    <w:uiPriority w:val="99"/>
    <w:semiHidden/>
    <w:unhideWhenUsed/>
    <w:rsid w:val="00317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40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jekti@cin.b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jekti@cin.b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09984-D4BF-4896-9FF1-3D97DFEC3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1375</Words>
  <Characters>7840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 Bičakčić</dc:creator>
  <cp:keywords/>
  <dc:description/>
  <cp:lastModifiedBy>Ja bih u EU</cp:lastModifiedBy>
  <cp:revision>4</cp:revision>
  <cp:lastPrinted>2025-09-24T10:28:00Z</cp:lastPrinted>
  <dcterms:created xsi:type="dcterms:W3CDTF">2026-10-16T09:44:00Z</dcterms:created>
  <dcterms:modified xsi:type="dcterms:W3CDTF">2026-10-16T11:31:00Z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ca646a2d6c6d6c03f2418df5cccd560b5cd72d9c0df05f85181b3e97bc327f3d</vt:lpwstr>
  </property>
</Properties>
</file>