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DCE3" w14:textId="77777777" w:rsidR="001247E0" w:rsidRPr="001247E0" w:rsidRDefault="001247E0" w:rsidP="001247E0">
      <w:pPr>
        <w:contextualSpacing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 w:rsidRPr="001247E0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t>ANNEX C — Instructions for Applicants</w:t>
      </w:r>
    </w:p>
    <w:p w14:paraId="3415BC98" w14:textId="77777777" w:rsidR="001247E0" w:rsidRPr="001247E0" w:rsidRDefault="001247E0" w:rsidP="001247E0">
      <w:pPr>
        <w:numPr>
          <w:ilvl w:val="1"/>
          <w:numId w:val="0"/>
        </w:numPr>
        <w:spacing w:after="160"/>
        <w:rPr>
          <w:rFonts w:ascii="Aptos" w:eastAsiaTheme="majorEastAsia" w:hAnsi="Aptos" w:cstheme="majorBidi"/>
          <w:color w:val="595959" w:themeColor="text1" w:themeTint="A6"/>
          <w:spacing w:val="15"/>
          <w:sz w:val="28"/>
          <w:szCs w:val="28"/>
        </w:rPr>
      </w:pPr>
      <w:r w:rsidRPr="001247E0">
        <w:rPr>
          <w:rFonts w:ascii="Aptos" w:eastAsiaTheme="majorEastAsia" w:hAnsi="Aptos" w:cstheme="majorBidi"/>
          <w:color w:val="595959" w:themeColor="text1" w:themeTint="A6"/>
          <w:spacing w:val="15"/>
          <w:sz w:val="28"/>
          <w:szCs w:val="28"/>
        </w:rPr>
        <w:t>Companion guide to Annex A narrative and Annex B budget</w:t>
      </w:r>
    </w:p>
    <w:p w14:paraId="40F0DBAD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Read the published call guidelines and these instructions together. If they differ, the approved call guidelines and grant agreement govern. Do not submit this instruction document as an application.</w:t>
      </w:r>
    </w:p>
    <w:p w14:paraId="7328481F" w14:textId="77777777" w:rsidR="001247E0" w:rsidRPr="001247E0" w:rsidRDefault="001247E0" w:rsidP="001247E0">
      <w:pPr>
        <w:keepNext/>
        <w:keepLines/>
        <w:spacing w:before="360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1. Before starting</w:t>
      </w:r>
    </w:p>
    <w:p w14:paraId="6B63CA04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Check legal status, WB6 establishment, non-profit character, relevant FoE/advocacy experience and ability to manage the action. Co-applicants must meet the same eligibility criteria.</w:t>
      </w:r>
    </w:p>
    <w:p w14:paraId="6E49E5EC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The approved project design provides EUR 10,000–20,000 per grant, no mandatory co-financing and activities in WB6. Maximum duration: 10 months.</w:t>
      </w:r>
    </w:p>
    <w:p w14:paraId="2406934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The following types of actions are eligible:</w:t>
      </w:r>
    </w:p>
    <w:p w14:paraId="2B4D176F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Advocacy and awareness-raising campaigns.</w:t>
      </w:r>
    </w:p>
    <w:p w14:paraId="4788D4D7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Policy research and recommendations.</w:t>
      </w:r>
    </w:p>
    <w:p w14:paraId="675A1BF0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Production of media content related to media freedom, FoE and professional journalism.</w:t>
      </w:r>
    </w:p>
    <w:p w14:paraId="06EEAC3E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Campaigns advocating FoE.</w:t>
      </w:r>
    </w:p>
    <w:p w14:paraId="0D528923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Consultations, roundtables and meetings with local stakeholders.</w:t>
      </w:r>
    </w:p>
    <w:p w14:paraId="3263C98D" w14:textId="77777777" w:rsidR="001247E0" w:rsidRPr="001247E0" w:rsidRDefault="001247E0" w:rsidP="001247E0">
      <w:pPr>
        <w:numPr>
          <w:ilvl w:val="0"/>
          <w:numId w:val="5"/>
        </w:numPr>
        <w:spacing w:after="200" w:line="276" w:lineRule="auto"/>
        <w:contextualSpacing/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</w:pPr>
      <w:r w:rsidRPr="001247E0">
        <w:rPr>
          <w:rFonts w:ascii="Aptos" w:eastAsiaTheme="minorEastAsia" w:hAnsi="Aptos"/>
          <w:kern w:val="0"/>
          <w:sz w:val="20"/>
          <w:szCs w:val="22"/>
          <w:lang w:val="en-US"/>
          <w14:ligatures w14:val="none"/>
        </w:rPr>
        <w:t>Policy dialogue with stakeholders, including public officials, experts, media and other relevant actors.</w:t>
      </w:r>
    </w:p>
    <w:p w14:paraId="3937E4CA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Training, evidence gathering, research, outreach, translation, dissemination and similar cross-cutting activities may be included when directly necessary for an eligible action and proportionate to its objectives; they do not expand the fixed list of eligible action types. Activities must have an implementation plan, staffing, budget, monitoring indicators and EU visibility measures.</w:t>
      </w:r>
    </w:p>
    <w:p w14:paraId="3050E68F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The following types of action are ineligible:</w:t>
      </w:r>
    </w:p>
    <w:p w14:paraId="2AA9D93D" w14:textId="77777777" w:rsidR="001247E0" w:rsidRPr="001247E0" w:rsidRDefault="001247E0" w:rsidP="001247E0">
      <w:pPr>
        <w:numPr>
          <w:ilvl w:val="0"/>
          <w:numId w:val="4"/>
        </w:numPr>
        <w:contextualSpacing/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actions concerned only or mainly with individual sponsorships for participation in workshops, seminars, conferences and congresses;</w:t>
      </w:r>
    </w:p>
    <w:p w14:paraId="50FFB21B" w14:textId="77777777" w:rsidR="001247E0" w:rsidRPr="001247E0" w:rsidRDefault="001247E0" w:rsidP="001247E0">
      <w:pPr>
        <w:numPr>
          <w:ilvl w:val="0"/>
          <w:numId w:val="4"/>
        </w:numPr>
        <w:contextualSpacing/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actions concerned only or mainly with individual scholarships for studies or training courses;</w:t>
      </w:r>
    </w:p>
    <w:p w14:paraId="7C609171" w14:textId="77777777" w:rsidR="001247E0" w:rsidRPr="001247E0" w:rsidRDefault="001247E0" w:rsidP="001247E0">
      <w:pPr>
        <w:numPr>
          <w:ilvl w:val="0"/>
          <w:numId w:val="4"/>
        </w:numPr>
        <w:contextualSpacing/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actions and measures that may result in violation of human rights in partner countries or causing significant adverse effects on the environment or the climate;</w:t>
      </w:r>
    </w:p>
    <w:p w14:paraId="1FB8A1E0" w14:textId="77777777" w:rsidR="001247E0" w:rsidRPr="001247E0" w:rsidRDefault="001247E0" w:rsidP="001247E0">
      <w:pPr>
        <w:numPr>
          <w:ilvl w:val="0"/>
          <w:numId w:val="4"/>
        </w:numPr>
        <w:contextualSpacing/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actions aiming predominantly at charitable donations and profit-making activities;</w:t>
      </w:r>
    </w:p>
    <w:p w14:paraId="0926D1BD" w14:textId="77777777" w:rsidR="001247E0" w:rsidRPr="001247E0" w:rsidRDefault="001247E0" w:rsidP="001247E0">
      <w:pPr>
        <w:numPr>
          <w:ilvl w:val="0"/>
          <w:numId w:val="4"/>
        </w:numPr>
        <w:contextualSpacing/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actions which are already funded by other Community programmes and undertaken before the date of contract signature.</w:t>
      </w:r>
    </w:p>
    <w:p w14:paraId="3148FE74" w14:textId="77777777" w:rsidR="001247E0" w:rsidRPr="001247E0" w:rsidRDefault="001247E0" w:rsidP="001247E0">
      <w:pPr>
        <w:keepNext/>
        <w:keepLines/>
        <w:spacing w:before="360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2. Completing Annex A — Narrative</w:t>
      </w:r>
    </w:p>
    <w:p w14:paraId="585663DB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1: Identification</w:t>
      </w:r>
    </w:p>
    <w:p w14:paraId="0541BFD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Match legal names and registration evidence exactly. Ensure grant amount and duration match the budget and schedule.</w:t>
      </w:r>
    </w:p>
    <w:p w14:paraId="4669A1E7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2: Summary</w:t>
      </w:r>
    </w:p>
    <w:p w14:paraId="5D74EBFD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Give a concise overview of the FoE problem, planned response, people reached and expected change.</w:t>
      </w:r>
    </w:p>
    <w:p w14:paraId="698E3747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3: Relevance</w:t>
      </w:r>
    </w:p>
    <w:p w14:paraId="0FEB8DFD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Use credible local evidence; describe affected groups, current gaps and why your action is needed.</w:t>
      </w:r>
    </w:p>
    <w:p w14:paraId="5AB2EBAA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lastRenderedPageBreak/>
        <w:t>Section 4: Results</w:t>
      </w:r>
    </w:p>
    <w:p w14:paraId="1D07C0E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Distinguish activities (what you do), outputs (what you deliver) and outcomes (what changes). Include baselines, numerical targets and sources of verification.</w:t>
      </w:r>
    </w:p>
    <w:p w14:paraId="4D80708D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5: Work plan</w:t>
      </w:r>
    </w:p>
    <w:p w14:paraId="536ABD1E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Map each activity to an eligible action category and a realistic month, responsible person and deliverable.</w:t>
      </w:r>
    </w:p>
    <w:p w14:paraId="40E61751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6: Capacity</w:t>
      </w:r>
    </w:p>
    <w:p w14:paraId="56195C16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Demonstrate prior relevant work and financial/management capability; identify lead/co-applicant roles.</w:t>
      </w:r>
    </w:p>
    <w:p w14:paraId="25EE93C8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7: Inclusion and risk</w:t>
      </w:r>
    </w:p>
    <w:p w14:paraId="4CA826B0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Explain meaningful access for vulnerable groups, gender considerations and concrete risk mitigations.</w:t>
      </w:r>
    </w:p>
    <w:p w14:paraId="69E10F44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8: Impact and sustainability</w:t>
      </w:r>
    </w:p>
    <w:p w14:paraId="7A13A207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Identify verifiable stakeholders/citizens reached and explain continuation or uptake after funding.</w:t>
      </w:r>
    </w:p>
    <w:p w14:paraId="5E3BF02F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9: Visibility</w:t>
      </w:r>
    </w:p>
    <w:p w14:paraId="3C7A2ED7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Describe practical EU visibility measures; apply final branding rules supplied by the consortium.</w:t>
      </w:r>
    </w:p>
    <w:p w14:paraId="3663B9EF" w14:textId="77777777" w:rsidR="001247E0" w:rsidRPr="001247E0" w:rsidRDefault="001247E0" w:rsidP="001247E0">
      <w:pPr>
        <w:keepNext/>
        <w:keepLines/>
        <w:spacing w:before="160"/>
        <w:outlineLvl w:val="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10: Budget and declarations</w:t>
      </w:r>
    </w:p>
    <w:p w14:paraId="2AE0D8C5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Explain material costs, justify rates and sign declarations; do not claim other funding for identical costs.</w:t>
      </w:r>
    </w:p>
    <w:p w14:paraId="0EE8DA55" w14:textId="77777777" w:rsidR="001247E0" w:rsidRPr="001247E0" w:rsidRDefault="001247E0" w:rsidP="001247E0">
      <w:pPr>
        <w:keepNext/>
        <w:keepLines/>
        <w:spacing w:before="360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3. Completing Annex B — Excel budget</w:t>
      </w:r>
    </w:p>
    <w:p w14:paraId="160C9D6A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Open the “Budget” tab. Enter one cost item per row; select an appropriate category and describe the link to an activity.</w:t>
      </w:r>
    </w:p>
    <w:p w14:paraId="7CFF9743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Complete unit, quantity, unit cost (EUR), and number of periods. The calculated total is quantity × unit cost × periods. Do not overwrite formula cells.</w:t>
      </w:r>
    </w:p>
    <w:p w14:paraId="745AE88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Use “Budget Notes” to justify rates, procurement assumptions, allocations and calculations. Costs must be reasonable, necessary and supported by records.</w:t>
      </w:r>
    </w:p>
    <w:p w14:paraId="5E97D211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The “Summary” tab aggregates categories and shows the grant amount and whether it falls within the EUR 10,000–20,000 range. Check totals against Annex A.</w:t>
      </w:r>
    </w:p>
    <w:p w14:paraId="0162D196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• No co-financing is required. Do not add ineligible, duplicate or unsupported costs. The final call must define detailed cost eligibility, taxes, equipment and procurement treatment.</w:t>
      </w:r>
    </w:p>
    <w:p w14:paraId="470F2130" w14:textId="77777777" w:rsidR="001247E0" w:rsidRPr="001247E0" w:rsidRDefault="001247E0" w:rsidP="001247E0">
      <w:pPr>
        <w:keepNext/>
        <w:keepLines/>
        <w:spacing w:before="360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4. Quality checks before submission</w:t>
      </w:r>
    </w:p>
    <w:p w14:paraId="2A79030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☐ Objectives, indicators, activities, work plan and budget are mutually consistent.</w:t>
      </w:r>
    </w:p>
    <w:p w14:paraId="7F7631FA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☐ Every major cost has a corresponding activity and justification.</w:t>
      </w:r>
    </w:p>
    <w:p w14:paraId="74684F7C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☐ Legal status and required attachments are complete.</w:t>
      </w:r>
    </w:p>
    <w:p w14:paraId="60BE3810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☐ Requested grant is within the published limits; implementation period meets final call rules.</w:t>
      </w:r>
    </w:p>
    <w:p w14:paraId="7C79ACEE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>☐ Files are named clearly and submitted by the exact deadline/time zone specified in the call.</w:t>
      </w:r>
    </w:p>
    <w:p w14:paraId="62EC0E9C" w14:textId="77777777" w:rsidR="001247E0" w:rsidRPr="001247E0" w:rsidRDefault="001247E0" w:rsidP="001247E0">
      <w:pPr>
        <w:keepNext/>
        <w:keepLines/>
        <w:spacing w:before="360"/>
        <w:outlineLvl w:val="0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1247E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5. How proposals will be assessed</w:t>
      </w:r>
    </w:p>
    <w:p w14:paraId="14F96319" w14:textId="77777777" w:rsidR="001247E0" w:rsidRPr="001247E0" w:rsidRDefault="001247E0" w:rsidP="001247E0">
      <w:pPr>
        <w:rPr>
          <w:rFonts w:ascii="Aptos" w:hAnsi="Aptos"/>
          <w:sz w:val="18"/>
        </w:rPr>
      </w:pPr>
      <w:r w:rsidRPr="001247E0">
        <w:rPr>
          <w:rFonts w:ascii="Aptos" w:hAnsi="Aptos"/>
          <w:sz w:val="18"/>
        </w:rPr>
        <w:t xml:space="preserve">Administrative/eligibility review, technical pre-selection and final assessment are foreseen. The seven published criteria total 100 points: relevance 30; effectiveness/feasibility 20; financial/operational capacity 20; </w:t>
      </w:r>
      <w:r w:rsidRPr="001247E0">
        <w:rPr>
          <w:rFonts w:ascii="Aptos" w:hAnsi="Aptos"/>
          <w:sz w:val="18"/>
        </w:rPr>
        <w:lastRenderedPageBreak/>
        <w:t>impact/stakeholders 10; inclusion/gender 5; sustainability 5; budget/cost-effectiveness 10. An indicative 15-day complaint period is in the design; the final call must state the procedure.</w:t>
      </w:r>
    </w:p>
    <w:p w14:paraId="3E5B6330" w14:textId="77777777" w:rsidR="001247E0" w:rsidRPr="001247E0" w:rsidRDefault="001247E0" w:rsidP="001247E0">
      <w:pPr>
        <w:rPr>
          <w:rFonts w:ascii="Aptos" w:hAnsi="Aptos"/>
          <w:sz w:val="18"/>
        </w:rPr>
      </w:pPr>
    </w:p>
    <w:p w14:paraId="10A4FA5F" w14:textId="77777777" w:rsidR="005E0B61" w:rsidRPr="005379F3" w:rsidRDefault="005E0B61" w:rsidP="005379F3"/>
    <w:sectPr w:rsidR="005E0B61" w:rsidRPr="005379F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073B1" w14:textId="77777777" w:rsidR="004E58D4" w:rsidRDefault="004E58D4" w:rsidP="00753456">
      <w:pPr>
        <w:spacing w:after="0"/>
      </w:pPr>
      <w:r>
        <w:separator/>
      </w:r>
    </w:p>
  </w:endnote>
  <w:endnote w:type="continuationSeparator" w:id="0">
    <w:p w14:paraId="202F9598" w14:textId="77777777" w:rsidR="004E58D4" w:rsidRDefault="004E58D4" w:rsidP="007534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972B" w14:textId="22B23DA9" w:rsidR="00753456" w:rsidRPr="00753456" w:rsidRDefault="00753456" w:rsidP="00753456">
    <w:pPr>
      <w:pStyle w:val="Footer"/>
    </w:pPr>
  </w:p>
  <w:p w14:paraId="67AC4CBF" w14:textId="0ECF0122" w:rsidR="00753456" w:rsidRDefault="00753456">
    <w:pPr>
      <w:pStyle w:val="Footer"/>
    </w:pPr>
    <w:r>
      <w:rPr>
        <w:noProof/>
      </w:rPr>
      <w:drawing>
        <wp:inline distT="0" distB="0" distL="0" distR="0" wp14:anchorId="46B509DD" wp14:editId="515BE2C0">
          <wp:extent cx="1085850" cy="283473"/>
          <wp:effectExtent l="0" t="0" r="0" b="2540"/>
          <wp:docPr id="15787120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95" cy="2947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EC15D" w14:textId="77777777" w:rsidR="004E58D4" w:rsidRDefault="004E58D4" w:rsidP="00753456">
      <w:pPr>
        <w:spacing w:after="0"/>
      </w:pPr>
      <w:r>
        <w:separator/>
      </w:r>
    </w:p>
  </w:footnote>
  <w:footnote w:type="continuationSeparator" w:id="0">
    <w:p w14:paraId="40D75CCA" w14:textId="77777777" w:rsidR="004E58D4" w:rsidRDefault="004E58D4" w:rsidP="007534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EB58" w14:textId="63C7A8F5" w:rsidR="00753456" w:rsidRPr="00753456" w:rsidRDefault="005D5B7F" w:rsidP="00BD6231">
    <w:pPr>
      <w:pStyle w:val="Header"/>
      <w:jc w:val="center"/>
    </w:pPr>
    <w:r>
      <w:rPr>
        <w:noProof/>
      </w:rPr>
      <w:drawing>
        <wp:inline distT="0" distB="0" distL="0" distR="0" wp14:anchorId="7DA9ADD2" wp14:editId="58C48B74">
          <wp:extent cx="5864699" cy="655320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zajn bez naslova (25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58" t="40654" r="2947" b="40673"/>
                  <a:stretch/>
                </pic:blipFill>
                <pic:spPr bwMode="auto">
                  <a:xfrm>
                    <a:off x="0" y="0"/>
                    <a:ext cx="5880294" cy="6570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E275C9" w14:textId="77777777" w:rsidR="00753456" w:rsidRDefault="007534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82E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3C71A9"/>
    <w:multiLevelType w:val="hybridMultilevel"/>
    <w:tmpl w:val="845C3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30B56"/>
    <w:multiLevelType w:val="hybridMultilevel"/>
    <w:tmpl w:val="194E3B2A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C7EE8"/>
    <w:multiLevelType w:val="hybridMultilevel"/>
    <w:tmpl w:val="3F64301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FA5425E"/>
    <w:multiLevelType w:val="hybridMultilevel"/>
    <w:tmpl w:val="F46C6E1C"/>
    <w:lvl w:ilvl="0" w:tplc="2714741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607913">
    <w:abstractNumId w:val="1"/>
  </w:num>
  <w:num w:numId="2" w16cid:durableId="743113661">
    <w:abstractNumId w:val="3"/>
  </w:num>
  <w:num w:numId="3" w16cid:durableId="625045017">
    <w:abstractNumId w:val="0"/>
  </w:num>
  <w:num w:numId="4" w16cid:durableId="1007295463">
    <w:abstractNumId w:val="4"/>
  </w:num>
  <w:num w:numId="5" w16cid:durableId="1975257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47"/>
    <w:rsid w:val="00011397"/>
    <w:rsid w:val="000B5A39"/>
    <w:rsid w:val="001247E0"/>
    <w:rsid w:val="00282E43"/>
    <w:rsid w:val="0032403E"/>
    <w:rsid w:val="00351B54"/>
    <w:rsid w:val="00353C79"/>
    <w:rsid w:val="00363CE4"/>
    <w:rsid w:val="0041236F"/>
    <w:rsid w:val="004E58D4"/>
    <w:rsid w:val="00502B47"/>
    <w:rsid w:val="005379F3"/>
    <w:rsid w:val="0058661A"/>
    <w:rsid w:val="005D5B7F"/>
    <w:rsid w:val="005E0B19"/>
    <w:rsid w:val="005E0B61"/>
    <w:rsid w:val="00643427"/>
    <w:rsid w:val="00667A67"/>
    <w:rsid w:val="00753456"/>
    <w:rsid w:val="007D0E40"/>
    <w:rsid w:val="00855250"/>
    <w:rsid w:val="008B5503"/>
    <w:rsid w:val="00A20E96"/>
    <w:rsid w:val="00AA13B2"/>
    <w:rsid w:val="00BD6231"/>
    <w:rsid w:val="00C36CEA"/>
    <w:rsid w:val="00C510AD"/>
    <w:rsid w:val="00C530F0"/>
    <w:rsid w:val="00D41E67"/>
    <w:rsid w:val="00EF1A81"/>
    <w:rsid w:val="00E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FEE5A"/>
  <w15:chartTrackingRefBased/>
  <w15:docId w15:val="{B2C7790E-7015-BA4E-A10B-0EF819BF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B4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B4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B47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B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B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B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B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B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B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B4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B4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B4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B4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B4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B4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B4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02B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B4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B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B4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02B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B4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02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4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02B47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B47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y2iqfc">
    <w:name w:val="y2iqfc"/>
    <w:basedOn w:val="DefaultParagraphFont"/>
    <w:rsid w:val="00502B47"/>
  </w:style>
  <w:style w:type="paragraph" w:styleId="Header">
    <w:name w:val="header"/>
    <w:basedOn w:val="Normal"/>
    <w:link w:val="Head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5345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345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53456"/>
    <w:rPr>
      <w:lang w:val="en-GB"/>
    </w:rPr>
  </w:style>
  <w:style w:type="paragraph" w:styleId="ListBullet">
    <w:name w:val="List Bullet"/>
    <w:basedOn w:val="Normal"/>
    <w:uiPriority w:val="99"/>
    <w:unhideWhenUsed/>
    <w:rsid w:val="00351B54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table" w:styleId="LightShading-Accent1">
    <w:name w:val="Light Shading Accent 1"/>
    <w:basedOn w:val="TableNormal"/>
    <w:uiPriority w:val="60"/>
    <w:rsid w:val="00351B54"/>
    <w:pPr>
      <w:spacing w:after="0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3DF6E-152E-47D4-A10F-6959BD5F4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Bičakčić</dc:creator>
  <cp:keywords/>
  <dc:description/>
  <cp:lastModifiedBy>Leila Bicakcic</cp:lastModifiedBy>
  <cp:revision>2</cp:revision>
  <cp:lastPrinted>2025-09-24T10:28:00Z</cp:lastPrinted>
  <dcterms:created xsi:type="dcterms:W3CDTF">2026-10-16T09:43:00Z</dcterms:created>
  <dcterms:modified xsi:type="dcterms:W3CDTF">2026-10-16T09:43:00Z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ca646a2d6c6d6c03f2418df5cccd560b5cd72d9c0df05f85181b3e97bc327f3d</vt:lpwstr>
  </property>
</Properties>
</file>